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6" w:rsidRPr="00EE0C3C" w:rsidRDefault="00CB3866" w:rsidP="00E2214D">
      <w:pPr>
        <w:pStyle w:val="BodyText"/>
        <w:jc w:val="center"/>
        <w:rPr>
          <w:b/>
          <w:szCs w:val="28"/>
        </w:rPr>
      </w:pPr>
      <w:r w:rsidRPr="00EE0C3C">
        <w:rPr>
          <w:b/>
          <w:szCs w:val="28"/>
        </w:rPr>
        <w:t>СЛУЖБА ПО ТАРИФАМ АСТРАХАНСКОЙ ОБЛАСТИ</w:t>
      </w:r>
    </w:p>
    <w:p w:rsidR="00CB3866" w:rsidRPr="00EE0C3C" w:rsidRDefault="00CB3866" w:rsidP="00E2214D">
      <w:pPr>
        <w:pStyle w:val="BodyText"/>
        <w:jc w:val="center"/>
        <w:rPr>
          <w:b/>
          <w:szCs w:val="28"/>
        </w:rPr>
      </w:pPr>
    </w:p>
    <w:p w:rsidR="00CB3866" w:rsidRPr="00EE0C3C" w:rsidRDefault="00CB3866" w:rsidP="00BB2D5B">
      <w:pPr>
        <w:pStyle w:val="BodyText"/>
        <w:jc w:val="center"/>
        <w:rPr>
          <w:b/>
          <w:color w:val="000000"/>
          <w:szCs w:val="28"/>
        </w:rPr>
      </w:pPr>
      <w:r w:rsidRPr="00EE0C3C">
        <w:rPr>
          <w:b/>
          <w:color w:val="000000"/>
          <w:szCs w:val="28"/>
        </w:rPr>
        <w:t>Экспертное заключение по корректировке необходимой валовой выручки  и тарифов на услуги по передаче электрической энергии ОАО «АЗХО» на 201</w:t>
      </w:r>
      <w:r>
        <w:rPr>
          <w:b/>
          <w:color w:val="000000"/>
          <w:szCs w:val="28"/>
        </w:rPr>
        <w:t>5</w:t>
      </w:r>
      <w:r w:rsidRPr="00EE0C3C">
        <w:rPr>
          <w:b/>
          <w:color w:val="000000"/>
          <w:szCs w:val="28"/>
        </w:rPr>
        <w:t xml:space="preserve"> год, установленных на основе долгосрочных параметров регулирования</w:t>
      </w:r>
    </w:p>
    <w:p w:rsidR="00CB3866" w:rsidRPr="00EE0C3C" w:rsidRDefault="00CB3866" w:rsidP="00BB2D5B">
      <w:pPr>
        <w:pStyle w:val="BodyText"/>
        <w:jc w:val="center"/>
        <w:rPr>
          <w:b/>
          <w:color w:val="000000"/>
          <w:szCs w:val="28"/>
        </w:rPr>
      </w:pPr>
    </w:p>
    <w:p w:rsidR="00CB3866" w:rsidRPr="00EE0C3C" w:rsidRDefault="00CB3866">
      <w:pPr>
        <w:pStyle w:val="BodyText"/>
        <w:rPr>
          <w:szCs w:val="28"/>
        </w:rPr>
      </w:pPr>
      <w:r>
        <w:rPr>
          <w:color w:val="FF0000"/>
          <w:szCs w:val="28"/>
        </w:rPr>
        <w:t>12.12</w:t>
      </w:r>
      <w:r w:rsidRPr="00EE0C3C">
        <w:rPr>
          <w:color w:val="FF0000"/>
          <w:szCs w:val="28"/>
        </w:rPr>
        <w:t>.201</w:t>
      </w:r>
      <w:r>
        <w:rPr>
          <w:color w:val="FF0000"/>
          <w:szCs w:val="28"/>
        </w:rPr>
        <w:t>4</w:t>
      </w:r>
      <w:r w:rsidRPr="00EE0C3C">
        <w:rPr>
          <w:color w:val="FF0000"/>
          <w:szCs w:val="28"/>
        </w:rPr>
        <w:t xml:space="preserve">                                                                                              </w:t>
      </w:r>
      <w:r w:rsidRPr="00EE0C3C">
        <w:rPr>
          <w:szCs w:val="28"/>
        </w:rPr>
        <w:t>г. Астрахань</w:t>
      </w:r>
    </w:p>
    <w:p w:rsidR="00CB3866" w:rsidRPr="00EE0C3C" w:rsidRDefault="00CB3866">
      <w:pPr>
        <w:pStyle w:val="BodyText"/>
        <w:rPr>
          <w:color w:val="7030A0"/>
          <w:szCs w:val="28"/>
        </w:rPr>
      </w:pPr>
    </w:p>
    <w:p w:rsidR="00CB3866" w:rsidRPr="00EE0C3C" w:rsidRDefault="00CB3866" w:rsidP="00DC7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Экспертной группой при корректировке необходимой валовой выручки (далее - НВВ) </w:t>
      </w:r>
      <w:r>
        <w:rPr>
          <w:sz w:val="28"/>
          <w:szCs w:val="28"/>
        </w:rPr>
        <w:t>о</w:t>
      </w:r>
      <w:r w:rsidRPr="00EE0C3C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r w:rsidRPr="00EE0C3C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EE0C3C">
        <w:rPr>
          <w:sz w:val="28"/>
          <w:szCs w:val="28"/>
        </w:rPr>
        <w:t xml:space="preserve"> общество «АЗХО» (ОГРН 102300854293) (далее - ОАО «АЗХО»)</w:t>
      </w:r>
      <w:r w:rsidRPr="00EE0C3C">
        <w:rPr>
          <w:color w:val="000000"/>
          <w:sz w:val="28"/>
          <w:szCs w:val="28"/>
        </w:rPr>
        <w:t xml:space="preserve"> </w:t>
      </w:r>
      <w:r w:rsidRPr="00EE0C3C">
        <w:rPr>
          <w:sz w:val="28"/>
          <w:szCs w:val="28"/>
        </w:rPr>
        <w:t>и тарифов на услуги по передаче электрической энергии на 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год были применены требования:</w:t>
      </w:r>
    </w:p>
    <w:p w:rsidR="00CB3866" w:rsidRPr="00EE0C3C" w:rsidRDefault="00CB3866" w:rsidP="00BE07AF">
      <w:pPr>
        <w:pStyle w:val="BodyTextIndent"/>
        <w:ind w:firstLine="720"/>
        <w:jc w:val="both"/>
        <w:rPr>
          <w:szCs w:val="28"/>
        </w:rPr>
      </w:pPr>
      <w:r w:rsidRPr="00EE0C3C">
        <w:rPr>
          <w:szCs w:val="28"/>
        </w:rPr>
        <w:t>- Налогового кодекса Российской Федерации (далее</w:t>
      </w:r>
      <w:r>
        <w:rPr>
          <w:szCs w:val="28"/>
        </w:rPr>
        <w:t xml:space="preserve"> </w:t>
      </w:r>
      <w:r w:rsidRPr="00EE0C3C">
        <w:rPr>
          <w:szCs w:val="28"/>
        </w:rPr>
        <w:t>- Налоговый кодекс);</w:t>
      </w:r>
    </w:p>
    <w:p w:rsidR="00CB3866" w:rsidRPr="00EE0C3C" w:rsidRDefault="00CB3866" w:rsidP="00BE07AF">
      <w:pPr>
        <w:pStyle w:val="BodyTextIndent"/>
        <w:ind w:firstLine="720"/>
        <w:jc w:val="both"/>
        <w:rPr>
          <w:szCs w:val="28"/>
        </w:rPr>
      </w:pPr>
      <w:r w:rsidRPr="00EE0C3C">
        <w:rPr>
          <w:szCs w:val="28"/>
        </w:rPr>
        <w:t>- Федерального закона от 26.03.2003 № 35-ФЗ «Об электроэнергетике»;</w:t>
      </w:r>
    </w:p>
    <w:p w:rsidR="00CB3866" w:rsidRPr="005B6D6F" w:rsidRDefault="00CB3866" w:rsidP="005B6D6F">
      <w:pPr>
        <w:pStyle w:val="BodyTextIndent"/>
        <w:ind w:firstLine="720"/>
        <w:jc w:val="both"/>
        <w:rPr>
          <w:szCs w:val="28"/>
        </w:rPr>
      </w:pPr>
      <w:r w:rsidRPr="005B6D6F">
        <w:rPr>
          <w:szCs w:val="28"/>
        </w:rPr>
        <w:t>- постановления Правительства Российской Федерации от 31.12.2009  № 1220 «Об определении применяемых при установлении долгосрочных тарифов показателей надежности и качества поставляемых товаров и оказываемых услуг» (с изменениями и дополнениями от 17.02.2014 № 119);</w:t>
      </w:r>
    </w:p>
    <w:p w:rsidR="00CB3866" w:rsidRPr="005B6D6F" w:rsidRDefault="00CB3866" w:rsidP="005B6D6F">
      <w:pPr>
        <w:pStyle w:val="BodyTextIndent"/>
        <w:ind w:firstLine="720"/>
        <w:jc w:val="both"/>
        <w:rPr>
          <w:szCs w:val="28"/>
        </w:rPr>
      </w:pPr>
      <w:r w:rsidRPr="005B6D6F">
        <w:rPr>
          <w:szCs w:val="28"/>
        </w:rPr>
        <w:t>- постановления Правительства Российской Федерации от 31.07.2014 № 750 «О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комплексе»;</w:t>
      </w:r>
    </w:p>
    <w:p w:rsidR="00CB3866" w:rsidRPr="00EE0C3C" w:rsidRDefault="00CB3866" w:rsidP="00314139">
      <w:pPr>
        <w:pStyle w:val="BodyTextIndent"/>
        <w:ind w:firstLine="720"/>
        <w:jc w:val="both"/>
        <w:rPr>
          <w:b/>
          <w:bCs/>
          <w:color w:val="000000"/>
          <w:szCs w:val="28"/>
        </w:rPr>
      </w:pPr>
      <w:r w:rsidRPr="00EE0C3C">
        <w:rPr>
          <w:szCs w:val="28"/>
        </w:rPr>
        <w:t>- Основ ценообразования в области регулируемых цен (тарифов) в электроэнергетике, утвержденны</w:t>
      </w:r>
      <w:r>
        <w:rPr>
          <w:szCs w:val="28"/>
        </w:rPr>
        <w:t>х</w:t>
      </w:r>
      <w:r w:rsidRPr="00EE0C3C">
        <w:rPr>
          <w:szCs w:val="28"/>
        </w:rPr>
        <w:t xml:space="preserve"> </w:t>
      </w:r>
      <w:hyperlink w:anchor="sub_0" w:history="1">
        <w:r w:rsidRPr="00EE0C3C">
          <w:rPr>
            <w:rStyle w:val="a0"/>
            <w:color w:val="auto"/>
            <w:szCs w:val="28"/>
          </w:rPr>
          <w:t>постановлением</w:t>
        </w:r>
      </w:hyperlink>
      <w:r w:rsidRPr="00EE0C3C">
        <w:rPr>
          <w:szCs w:val="28"/>
        </w:rPr>
        <w:t xml:space="preserve"> Правительства Российской Федерации от 29.12.2011 № 1178 (далее – Основы ценообразования);</w:t>
      </w:r>
    </w:p>
    <w:p w:rsidR="00CB3866" w:rsidRPr="00EE0C3C" w:rsidRDefault="00CB3866" w:rsidP="00BE07AF">
      <w:pPr>
        <w:pStyle w:val="BodyTextIndent"/>
        <w:ind w:firstLine="720"/>
        <w:jc w:val="both"/>
        <w:rPr>
          <w:szCs w:val="28"/>
        </w:rPr>
      </w:pPr>
      <w:r w:rsidRPr="00EE0C3C">
        <w:rPr>
          <w:szCs w:val="28"/>
        </w:rPr>
        <w:t xml:space="preserve">- Правил государственного регулирования (пересмотра, применения) цен (тарифов) в электроэнергетике, утвержденных </w:t>
      </w:r>
      <w:hyperlink w:anchor="sub_0" w:history="1">
        <w:r w:rsidRPr="00EE0C3C">
          <w:rPr>
            <w:szCs w:val="28"/>
          </w:rPr>
          <w:t>постановлением</w:t>
        </w:r>
      </w:hyperlink>
      <w:r w:rsidRPr="00EE0C3C">
        <w:rPr>
          <w:szCs w:val="28"/>
        </w:rPr>
        <w:t xml:space="preserve"> Правительства РФ от 29.12.2011 № 1178 </w:t>
      </w:r>
      <w:r>
        <w:rPr>
          <w:szCs w:val="28"/>
        </w:rPr>
        <w:t xml:space="preserve">(ред. от 23.08.2014) </w:t>
      </w:r>
      <w:r w:rsidRPr="00EE0C3C">
        <w:rPr>
          <w:szCs w:val="28"/>
        </w:rPr>
        <w:t>(далее- Правила);</w:t>
      </w:r>
    </w:p>
    <w:p w:rsidR="00CB3866" w:rsidRPr="00EE0C3C" w:rsidRDefault="00CB3866" w:rsidP="00BE07AF">
      <w:pPr>
        <w:pStyle w:val="Heading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0C3C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EE0C3C">
        <w:rPr>
          <w:rFonts w:ascii="Times New Roman" w:hAnsi="Times New Roman"/>
          <w:b w:val="0"/>
          <w:color w:val="auto"/>
          <w:sz w:val="28"/>
          <w:szCs w:val="28"/>
        </w:rPr>
        <w:t xml:space="preserve">Стандартов раскрытия информации субъектами оптового и розничных рынков электрической энергии, утвержденных </w:t>
      </w:r>
      <w:hyperlink w:anchor="sub_0" w:history="1">
        <w:r w:rsidRPr="00EE0C3C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E0C3C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21.01.2004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E0C3C">
        <w:rPr>
          <w:rFonts w:ascii="Times New Roman" w:hAnsi="Times New Roman"/>
          <w:b w:val="0"/>
          <w:color w:val="auto"/>
          <w:sz w:val="28"/>
          <w:szCs w:val="28"/>
        </w:rPr>
        <w:t>24 (далее – Стандарты раскрытия)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(ред. от 09.08.2014)</w:t>
      </w:r>
      <w:r w:rsidRPr="00EE0C3C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CB3866" w:rsidRDefault="00CB3866" w:rsidP="00BE07AF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E0C3C">
        <w:rPr>
          <w:rFonts w:ascii="Times New Roman" w:hAnsi="Times New Roman"/>
          <w:b w:val="0"/>
          <w:color w:val="auto"/>
          <w:sz w:val="28"/>
          <w:szCs w:val="28"/>
        </w:rPr>
        <w:t>-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утвержденного приказом ФСТ России от 28.03.2013 № 313-э;</w:t>
      </w:r>
    </w:p>
    <w:p w:rsidR="00CB3866" w:rsidRPr="00D07284" w:rsidRDefault="00CB3866" w:rsidP="00314139">
      <w:pPr>
        <w:pStyle w:val="BodyTextInden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07284">
        <w:rPr>
          <w:szCs w:val="28"/>
        </w:rPr>
        <w:t>Методических указаний  по расчету регулируемых тарифов и цен на электрическую (тепловую) энергию на розничном (потребительском) рынке, утвержденных приказом ФСТ России от 06.08.2004 № 20-э/2 (далее – Методические указания № 20-э/2);</w:t>
      </w:r>
    </w:p>
    <w:p w:rsidR="00CB3866" w:rsidRPr="00EE0C3C" w:rsidRDefault="00CB3866" w:rsidP="00BE07AF">
      <w:pPr>
        <w:pStyle w:val="BodyTextIndent"/>
        <w:ind w:firstLine="720"/>
        <w:jc w:val="both"/>
        <w:rPr>
          <w:szCs w:val="28"/>
        </w:rPr>
      </w:pPr>
      <w:r w:rsidRPr="00EE0C3C">
        <w:rPr>
          <w:szCs w:val="28"/>
        </w:rPr>
        <w:t>-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№ 98-э (далее - Методические указания № 98-э);</w:t>
      </w:r>
    </w:p>
    <w:p w:rsidR="00CB3866" w:rsidRPr="00EE0C3C" w:rsidRDefault="00CB3866" w:rsidP="00BE07AF">
      <w:pPr>
        <w:pStyle w:val="BodyTextIndent"/>
        <w:ind w:firstLine="720"/>
        <w:jc w:val="both"/>
        <w:rPr>
          <w:szCs w:val="28"/>
        </w:rPr>
      </w:pPr>
      <w:r w:rsidRPr="00EE0C3C">
        <w:rPr>
          <w:b/>
          <w:szCs w:val="28"/>
        </w:rPr>
        <w:t xml:space="preserve">- </w:t>
      </w:r>
      <w:r w:rsidRPr="00EE0C3C">
        <w:rPr>
          <w:szCs w:val="28"/>
        </w:rPr>
        <w:t>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утвержденных приказом ФСТ России от 26.10.2010 № 254-э/1 (далее - Методические указания № 254-э/1);</w:t>
      </w:r>
    </w:p>
    <w:p w:rsidR="00CB3866" w:rsidRDefault="00CB3866" w:rsidP="008050EE">
      <w:pPr>
        <w:pStyle w:val="BodyText"/>
        <w:ind w:firstLine="709"/>
        <w:jc w:val="both"/>
        <w:rPr>
          <w:szCs w:val="28"/>
        </w:rPr>
      </w:pPr>
      <w:r w:rsidRPr="00EE0C3C">
        <w:rPr>
          <w:szCs w:val="28"/>
        </w:rPr>
        <w:t xml:space="preserve">- </w:t>
      </w:r>
      <w:r>
        <w:rPr>
          <w:szCs w:val="28"/>
        </w:rPr>
        <w:t xml:space="preserve">уточненными показателями </w:t>
      </w:r>
      <w:r w:rsidRPr="00EE0C3C">
        <w:rPr>
          <w:szCs w:val="28"/>
        </w:rPr>
        <w:t>Прогноза социально-экономического развития Российской Федерации на 201</w:t>
      </w:r>
      <w:r>
        <w:rPr>
          <w:szCs w:val="28"/>
        </w:rPr>
        <w:t>5</w:t>
      </w:r>
      <w:r w:rsidRPr="00EE0C3C">
        <w:rPr>
          <w:szCs w:val="28"/>
        </w:rPr>
        <w:t xml:space="preserve"> год и на плановый период </w:t>
      </w:r>
      <w:r>
        <w:rPr>
          <w:szCs w:val="28"/>
        </w:rPr>
        <w:t xml:space="preserve">2016 и 2017 годов (одобренного Правительством Российской Федерации в сентябре 2014 года </w:t>
      </w:r>
      <w:r w:rsidRPr="00EE0C3C">
        <w:rPr>
          <w:szCs w:val="28"/>
        </w:rPr>
        <w:t>(далее - Прогноз)</w:t>
      </w:r>
      <w:r>
        <w:rPr>
          <w:szCs w:val="28"/>
        </w:rPr>
        <w:t>.</w:t>
      </w:r>
    </w:p>
    <w:p w:rsidR="00CB3866" w:rsidRDefault="00CB3866" w:rsidP="00DC2118">
      <w:pPr>
        <w:pStyle w:val="BodyText"/>
        <w:ind w:firstLine="709"/>
        <w:jc w:val="both"/>
        <w:rPr>
          <w:color w:val="000000"/>
          <w:szCs w:val="28"/>
        </w:rPr>
      </w:pPr>
      <w:r w:rsidRPr="00EE0C3C">
        <w:rPr>
          <w:szCs w:val="28"/>
        </w:rPr>
        <w:t xml:space="preserve">Распоряжением службы по тарифам Астраханской области </w:t>
      </w:r>
      <w:r>
        <w:rPr>
          <w:szCs w:val="28"/>
        </w:rPr>
        <w:t xml:space="preserve">от </w:t>
      </w:r>
      <w:r w:rsidRPr="00EE0C3C">
        <w:rPr>
          <w:szCs w:val="28"/>
        </w:rPr>
        <w:t xml:space="preserve">26.12.2012 № 83 «Об </w:t>
      </w:r>
      <w:r w:rsidRPr="00EE0C3C">
        <w:rPr>
          <w:color w:val="000000"/>
          <w:szCs w:val="28"/>
        </w:rPr>
        <w:t xml:space="preserve">индивидуальных тарифах  на услуги по передаче электрической энергии для взаиморасчетов между </w:t>
      </w:r>
      <w:r w:rsidRPr="00EE0C3C">
        <w:rPr>
          <w:szCs w:val="28"/>
        </w:rPr>
        <w:t>ОАО «АЗХО»</w:t>
      </w:r>
      <w:r w:rsidRPr="00EE0C3C">
        <w:rPr>
          <w:color w:val="000000"/>
          <w:szCs w:val="28"/>
        </w:rPr>
        <w:t xml:space="preserve"> и филиалом ОАО «МРСК Юга» - «Астраханьэнерго» на долгосрочный период регулирования» </w:t>
      </w:r>
      <w:r>
        <w:rPr>
          <w:color w:val="000000"/>
          <w:szCs w:val="28"/>
        </w:rPr>
        <w:t>(с изменениями и дополнениями от</w:t>
      </w:r>
      <w:r w:rsidRPr="000D0434">
        <w:rPr>
          <w:szCs w:val="28"/>
        </w:rPr>
        <w:t xml:space="preserve"> </w:t>
      </w:r>
      <w:r w:rsidRPr="0083406A">
        <w:rPr>
          <w:szCs w:val="28"/>
        </w:rPr>
        <w:t>04</w:t>
      </w:r>
      <w:r w:rsidRPr="004A580C">
        <w:rPr>
          <w:szCs w:val="28"/>
        </w:rPr>
        <w:t>.12.2013 № 2</w:t>
      </w:r>
      <w:r w:rsidRPr="0083406A">
        <w:rPr>
          <w:szCs w:val="28"/>
        </w:rPr>
        <w:t>02</w:t>
      </w:r>
      <w:r>
        <w:rPr>
          <w:szCs w:val="28"/>
        </w:rPr>
        <w:t>)</w:t>
      </w:r>
      <w:r>
        <w:rPr>
          <w:color w:val="000000"/>
          <w:szCs w:val="28"/>
        </w:rPr>
        <w:t xml:space="preserve"> </w:t>
      </w:r>
      <w:r w:rsidRPr="00EE0C3C">
        <w:rPr>
          <w:color w:val="000000"/>
          <w:szCs w:val="28"/>
        </w:rPr>
        <w:t>установлены тарифы на услуги по передаче электрической энергии и долгосрочные параметры регулирования, рассчитанные методом долгосрочной индексации необходимой валовой выручки, на период 2012-2014 г.г. с календарной разбивкой по полугодиям.</w:t>
      </w:r>
    </w:p>
    <w:p w:rsidR="00CB3866" w:rsidRDefault="00CB3866" w:rsidP="005B6D6F">
      <w:pPr>
        <w:pStyle w:val="Heading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7284">
        <w:rPr>
          <w:rFonts w:ascii="Times New Roman" w:hAnsi="Times New Roman"/>
          <w:b w:val="0"/>
          <w:color w:val="auto"/>
          <w:sz w:val="28"/>
          <w:szCs w:val="28"/>
        </w:rPr>
        <w:t>В соответствии с п.38 Основ ценообразов</w:t>
      </w:r>
      <w:r>
        <w:rPr>
          <w:rFonts w:ascii="Times New Roman" w:hAnsi="Times New Roman"/>
          <w:b w:val="0"/>
          <w:color w:val="auto"/>
          <w:sz w:val="28"/>
          <w:szCs w:val="28"/>
        </w:rPr>
        <w:t>ания</w:t>
      </w:r>
      <w:r w:rsidRPr="00D07284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долгосрочного периода регулирования регулирующими органами ежегодно производится корректировка необходимой валовой выручки, устанавливаемой на очередной период регулирования.</w:t>
      </w:r>
    </w:p>
    <w:p w:rsidR="00CB3866" w:rsidRPr="009728A5" w:rsidRDefault="00CB3866" w:rsidP="009728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728A5">
        <w:rPr>
          <w:bCs/>
          <w:sz w:val="28"/>
          <w:szCs w:val="28"/>
        </w:rPr>
        <w:t>В соответствии с п.5 Методических указаний № 98-э тарифы на услуги по передаче электрической энергии, утвержденные на долгосрочный период регулирования ежегодно корректируются в порядке, предусмотренном Методическими указаниями.</w:t>
      </w:r>
    </w:p>
    <w:p w:rsidR="00CB3866" w:rsidRDefault="00CB3866" w:rsidP="0054417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A3771E">
        <w:rPr>
          <w:sz w:val="28"/>
          <w:szCs w:val="28"/>
        </w:rPr>
        <w:t>п. 5 постановления Правительства Российской Федерации от 31.07.2014 № 750</w:t>
      </w:r>
      <w:r>
        <w:rPr>
          <w:sz w:val="28"/>
          <w:szCs w:val="28"/>
        </w:rPr>
        <w:t>:</w:t>
      </w:r>
    </w:p>
    <w:p w:rsidR="00CB3866" w:rsidRDefault="00CB3866" w:rsidP="0054417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3771E">
        <w:rPr>
          <w:sz w:val="28"/>
          <w:szCs w:val="28"/>
        </w:rPr>
        <w:t xml:space="preserve"> был пересмотрен базовый уровень  подконтрольных расходов. На основании </w:t>
      </w:r>
      <w:r>
        <w:rPr>
          <w:sz w:val="28"/>
          <w:szCs w:val="28"/>
        </w:rPr>
        <w:t xml:space="preserve">изложенного службой по тарифам Астраханской области </w:t>
      </w:r>
      <w:r w:rsidRPr="00A3771E">
        <w:rPr>
          <w:sz w:val="28"/>
          <w:szCs w:val="28"/>
        </w:rPr>
        <w:t xml:space="preserve">распоряжением от 28.12 2014 </w:t>
      </w:r>
      <w:r w:rsidRPr="00817CAD">
        <w:rPr>
          <w:sz w:val="28"/>
          <w:szCs w:val="28"/>
        </w:rPr>
        <w:t>№ 16</w:t>
      </w:r>
      <w:r>
        <w:rPr>
          <w:sz w:val="28"/>
          <w:szCs w:val="28"/>
        </w:rPr>
        <w:t>0</w:t>
      </w:r>
      <w:r w:rsidRPr="00817CAD">
        <w:rPr>
          <w:sz w:val="28"/>
          <w:szCs w:val="28"/>
        </w:rPr>
        <w:t xml:space="preserve"> «Об установлении базового уровня операционных (подконтрольных) расходов ОАО «АЗХО» (ОГРН 1023000854293), осуществляющего регулируемую деятельность в сфере оказания услуг по передаче электрической энергии» </w:t>
      </w:r>
      <w:r w:rsidRPr="00A3771E">
        <w:rPr>
          <w:sz w:val="28"/>
          <w:szCs w:val="28"/>
        </w:rPr>
        <w:t xml:space="preserve">был установлен </w:t>
      </w:r>
      <w:r>
        <w:rPr>
          <w:sz w:val="28"/>
          <w:szCs w:val="28"/>
        </w:rPr>
        <w:t xml:space="preserve">один из </w:t>
      </w:r>
      <w:r w:rsidRPr="00A3771E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A3771E">
        <w:rPr>
          <w:sz w:val="28"/>
          <w:szCs w:val="28"/>
        </w:rPr>
        <w:t xml:space="preserve"> долгосрочных параметров регулирования - базовый уровень подконтрольных расходов на первый год долгосрочного регулиров</w:t>
      </w:r>
      <w:r>
        <w:rPr>
          <w:sz w:val="28"/>
          <w:szCs w:val="28"/>
        </w:rPr>
        <w:t>ания в размере 349,03 тыс. рублей;</w:t>
      </w:r>
    </w:p>
    <w:p w:rsidR="00CB3866" w:rsidRDefault="00CB3866" w:rsidP="0054417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величина технологического расхода потерь электрической энергии при ее передаче по электрическим сетям ОАО «АЗХО» на 2015 год распоряжением службы по тарифам Астрахансокй области от 26.11.2014 № 144. </w:t>
      </w:r>
    </w:p>
    <w:p w:rsidR="00CB3866" w:rsidRDefault="00CB3866" w:rsidP="005B6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к</w:t>
      </w:r>
      <w:r w:rsidRPr="0035318A">
        <w:rPr>
          <w:sz w:val="28"/>
          <w:szCs w:val="28"/>
        </w:rPr>
        <w:t>орректировка необходимой валовой выручки 201</w:t>
      </w:r>
      <w:r>
        <w:rPr>
          <w:sz w:val="28"/>
          <w:szCs w:val="28"/>
        </w:rPr>
        <w:t>5</w:t>
      </w:r>
      <w:r w:rsidRPr="0035318A">
        <w:rPr>
          <w:sz w:val="28"/>
          <w:szCs w:val="28"/>
        </w:rPr>
        <w:t xml:space="preserve"> года  (далее - корректировка НВВ) экспертной группой выполнен</w:t>
      </w:r>
      <w:r>
        <w:rPr>
          <w:sz w:val="28"/>
          <w:szCs w:val="28"/>
        </w:rPr>
        <w:t>а</w:t>
      </w:r>
      <w:r w:rsidRPr="0035318A">
        <w:rPr>
          <w:sz w:val="28"/>
          <w:szCs w:val="28"/>
        </w:rPr>
        <w:t xml:space="preserve"> с учетом:</w:t>
      </w:r>
    </w:p>
    <w:p w:rsidR="00CB3866" w:rsidRPr="00D07284" w:rsidRDefault="00CB3866" w:rsidP="005B6D6F">
      <w:pPr>
        <w:ind w:firstLine="720"/>
        <w:jc w:val="both"/>
        <w:rPr>
          <w:sz w:val="28"/>
          <w:szCs w:val="28"/>
        </w:rPr>
      </w:pPr>
      <w:r w:rsidRPr="00D07284">
        <w:rPr>
          <w:sz w:val="28"/>
          <w:szCs w:val="28"/>
        </w:rPr>
        <w:t>1. Т</w:t>
      </w:r>
      <w:r>
        <w:rPr>
          <w:sz w:val="28"/>
          <w:szCs w:val="28"/>
        </w:rPr>
        <w:t>ребований п.11.1</w:t>
      </w:r>
      <w:r w:rsidRPr="00D07284">
        <w:rPr>
          <w:sz w:val="28"/>
          <w:szCs w:val="28"/>
        </w:rPr>
        <w:t> Основ ценообразования, согласно котор</w:t>
      </w:r>
      <w:r>
        <w:rPr>
          <w:sz w:val="28"/>
          <w:szCs w:val="28"/>
        </w:rPr>
        <w:t>ым</w:t>
      </w:r>
      <w:r w:rsidRPr="00D07284">
        <w:rPr>
          <w:sz w:val="28"/>
          <w:szCs w:val="28"/>
        </w:rPr>
        <w:t xml:space="preserve"> регулируемые цены (тарифы) и их предельные (минимальный и (или) максимальный) уровни (если установление таких предельных уровней предусмотрено законодательством Российской Федерации) устанавливаются с календарной разбивкой исходя из непревышения величины цен (тарифов) и их предельных уровней в первом полугодии очередного годового периода регулирования над величиной соответствующих цен (тарифов) и их предельных уровней во втором полугодии предшествующего годового периода регулирования по состоянию на 31 декабря, если иное не установлено актами Правительства Российской Федерации.</w:t>
      </w:r>
    </w:p>
    <w:p w:rsidR="00CB3866" w:rsidRPr="00D07284" w:rsidRDefault="00CB3866" w:rsidP="005B6D6F">
      <w:pPr>
        <w:ind w:firstLine="709"/>
        <w:jc w:val="both"/>
        <w:rPr>
          <w:sz w:val="28"/>
          <w:szCs w:val="28"/>
        </w:rPr>
      </w:pPr>
      <w:r w:rsidRPr="00D07284">
        <w:rPr>
          <w:sz w:val="28"/>
          <w:szCs w:val="28"/>
        </w:rPr>
        <w:t xml:space="preserve">Тарифы взаиморасчетов между 2 сетевыми организациями, с учетом стоимости нормативных технологических потерь электрической энергии в электрических сетях в первом полугодии очередного годового периода регулирования могут отличаться от соответствующих цен (тарифов) и их предельных уровней во втором полугодии предшествующего 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мощности, определяемыми в соответствии с </w:t>
      </w:r>
      <w:hyperlink r:id="rId7" w:history="1">
        <w:r w:rsidRPr="00D07284">
          <w:rPr>
            <w:rStyle w:val="a0"/>
            <w:sz w:val="28"/>
            <w:szCs w:val="28"/>
          </w:rPr>
          <w:t>пунктом 47</w:t>
        </w:r>
      </w:hyperlink>
      <w:r w:rsidRPr="00D07284">
        <w:rPr>
          <w:sz w:val="28"/>
          <w:szCs w:val="28"/>
        </w:rPr>
        <w:t xml:space="preserve"> Правил недискриминационного доступа к услугам по передаче электрической энергии и оказания этих услуг, утвержденных </w:t>
      </w:r>
      <w:hyperlink r:id="rId8" w:history="1">
        <w:r w:rsidRPr="00D07284">
          <w:rPr>
            <w:rStyle w:val="a0"/>
            <w:sz w:val="28"/>
            <w:szCs w:val="28"/>
          </w:rPr>
          <w:t>постановлением</w:t>
        </w:r>
      </w:hyperlink>
      <w:r w:rsidRPr="00D07284">
        <w:rPr>
          <w:sz w:val="28"/>
          <w:szCs w:val="28"/>
        </w:rPr>
        <w:t xml:space="preserve"> Правительства Российской Федерации от 27.12. 2004  № 861, и прогнозным балансом, а также в случае изменения количества активов, необходимых для осуществления регулируемой деятельности, по сравнению с величиной, учтенной при установлении указанных тарифов на предшествующий период регулирования.</w:t>
      </w:r>
    </w:p>
    <w:p w:rsidR="00CB3866" w:rsidRDefault="00CB3866" w:rsidP="005B6D6F">
      <w:pPr>
        <w:spacing w:line="340" w:lineRule="atLeast"/>
        <w:ind w:firstLine="709"/>
        <w:jc w:val="both"/>
        <w:rPr>
          <w:spacing w:val="-4"/>
          <w:sz w:val="28"/>
          <w:szCs w:val="28"/>
        </w:rPr>
      </w:pPr>
      <w:r w:rsidRPr="00D07284">
        <w:rPr>
          <w:sz w:val="28"/>
          <w:szCs w:val="28"/>
        </w:rPr>
        <w:t>2. Параметров Прогноза</w:t>
      </w:r>
      <w:r>
        <w:rPr>
          <w:sz w:val="28"/>
          <w:szCs w:val="28"/>
        </w:rPr>
        <w:t>.</w:t>
      </w:r>
    </w:p>
    <w:p w:rsidR="00CB3866" w:rsidRDefault="00CB3866" w:rsidP="00BC1C35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3.Распоряжения службы по тарифам Астраханской области от 28.11.2014 № 160 «</w:t>
      </w:r>
      <w:r w:rsidRPr="00265EA3">
        <w:rPr>
          <w:sz w:val="28"/>
          <w:szCs w:val="28"/>
        </w:rPr>
        <w:t>Об установлении базового уровня операционных (подконтрольных) расходов ОАО «АЗХО» (ОГРН 1023000854293), осуществляющего регулируемую деятельность в сфере оказания услуг по передаче электрической энергии</w:t>
      </w:r>
      <w:r>
        <w:rPr>
          <w:sz w:val="28"/>
          <w:szCs w:val="28"/>
        </w:rPr>
        <w:t>»;</w:t>
      </w:r>
    </w:p>
    <w:p w:rsidR="00CB3866" w:rsidRPr="00D07284" w:rsidRDefault="00CB3866" w:rsidP="00BC1C35">
      <w:pPr>
        <w:spacing w:line="34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5EA3">
        <w:rPr>
          <w:sz w:val="28"/>
          <w:szCs w:val="28"/>
        </w:rPr>
        <w:t>Распоряжения службы по тарифам Астраханской области от 2</w:t>
      </w:r>
      <w:r>
        <w:rPr>
          <w:sz w:val="28"/>
          <w:szCs w:val="28"/>
        </w:rPr>
        <w:t>6</w:t>
      </w:r>
      <w:r w:rsidRPr="00265EA3">
        <w:rPr>
          <w:sz w:val="28"/>
          <w:szCs w:val="28"/>
        </w:rPr>
        <w:t>.11.2014 № 1</w:t>
      </w:r>
      <w:r>
        <w:rPr>
          <w:sz w:val="28"/>
          <w:szCs w:val="28"/>
        </w:rPr>
        <w:t>44 «Об установлении величины технологического расхода потерь электрической энергии при ее передаче по электрическим сетям территориальных сетевых организаций, оказывающих услуги по передаче электрической энергии на территории Астраханской области на 2015 год».</w:t>
      </w:r>
    </w:p>
    <w:p w:rsidR="00CB3866" w:rsidRPr="00EE0C3C" w:rsidRDefault="00CB3866" w:rsidP="00D95705">
      <w:pPr>
        <w:pStyle w:val="ListParagraph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EE0C3C">
        <w:rPr>
          <w:b/>
          <w:sz w:val="28"/>
          <w:szCs w:val="28"/>
        </w:rPr>
        <w:t>Оценка достоверности данных, приведенных в предложениях об установлении тарифов</w:t>
      </w:r>
    </w:p>
    <w:p w:rsidR="00CB3866" w:rsidRPr="0035318A" w:rsidRDefault="00CB3866" w:rsidP="0035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18A">
        <w:rPr>
          <w:sz w:val="28"/>
          <w:szCs w:val="28"/>
        </w:rPr>
        <w:t xml:space="preserve"> соответствии с требованиями п.10.2  Стандартов раскрытия информация с предложением о размере цен (тарифов) на 2015 год, была размещена организацией в установленном порядке.</w:t>
      </w:r>
    </w:p>
    <w:p w:rsidR="00CB3866" w:rsidRPr="0035318A" w:rsidRDefault="00CB3866" w:rsidP="0035318A">
      <w:pPr>
        <w:ind w:firstLine="709"/>
        <w:jc w:val="both"/>
        <w:rPr>
          <w:sz w:val="28"/>
          <w:szCs w:val="28"/>
        </w:rPr>
      </w:pPr>
      <w:r w:rsidRPr="0035318A">
        <w:rPr>
          <w:sz w:val="28"/>
          <w:szCs w:val="28"/>
        </w:rPr>
        <w:t>Показатели регулируемой деятельности ОАО «АЗХО» размещены на сайте организации (http://azho.org/) в соответствии с требованиями Стандартов раскрытия.</w:t>
      </w:r>
    </w:p>
    <w:p w:rsidR="00CB3866" w:rsidRPr="0035318A" w:rsidRDefault="00CB3866" w:rsidP="0035318A">
      <w:pPr>
        <w:ind w:firstLine="709"/>
        <w:jc w:val="both"/>
        <w:rPr>
          <w:sz w:val="28"/>
          <w:szCs w:val="28"/>
        </w:rPr>
      </w:pPr>
      <w:r w:rsidRPr="0035318A">
        <w:rPr>
          <w:sz w:val="28"/>
          <w:szCs w:val="28"/>
        </w:rPr>
        <w:t>Согласно пункту 5 Основ ценообразования регулирование цен (тарифов) основывается на принципе обязательности ведения раздельного учета организациями, осуществляющими регулируемые виды деятельности, объема продукции (услуг), доходов и расходов на производство, передачу, сбыт электрической энергии и технологическое присоединение к электрическим сетям.</w:t>
      </w:r>
    </w:p>
    <w:p w:rsidR="00CB3866" w:rsidRDefault="00CB3866" w:rsidP="0035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 применению </w:t>
      </w:r>
      <w:r w:rsidRPr="0035318A">
        <w:rPr>
          <w:sz w:val="28"/>
          <w:szCs w:val="28"/>
        </w:rPr>
        <w:t>раздельного учета в сфере оказания услуг по передаче электрической энергии изложен</w:t>
      </w:r>
      <w:r>
        <w:rPr>
          <w:sz w:val="28"/>
          <w:szCs w:val="28"/>
        </w:rPr>
        <w:t>ы</w:t>
      </w:r>
      <w:r w:rsidRPr="0035318A">
        <w:rPr>
          <w:sz w:val="28"/>
          <w:szCs w:val="28"/>
        </w:rPr>
        <w:t xml:space="preserve"> в п. 14 Методических указаний      № 20-э/2.</w:t>
      </w:r>
    </w:p>
    <w:p w:rsidR="00CB3866" w:rsidRDefault="00CB3866" w:rsidP="004F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содержащиеся в материалах, представленных </w:t>
      </w:r>
      <w:r w:rsidRPr="0099418A">
        <w:rPr>
          <w:sz w:val="28"/>
          <w:szCs w:val="28"/>
        </w:rPr>
        <w:t xml:space="preserve">ОАО «АЗХО» </w:t>
      </w:r>
      <w:r>
        <w:rPr>
          <w:sz w:val="28"/>
          <w:szCs w:val="28"/>
        </w:rPr>
        <w:t>(в том числе данные первичного бухгалтерского, статистического, учета) не содержат информацию, позволяющую отнести расходы к регулируему виду деятельности и таким образом проверить экономическую обоснованность понесенных затрат.</w:t>
      </w:r>
    </w:p>
    <w:p w:rsidR="00CB3866" w:rsidRDefault="00CB3866" w:rsidP="004F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 4.3 гл.</w:t>
      </w:r>
      <w:r w:rsidRPr="00A315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об учетной политике ОАО «АЗХО» для целей бухгалтерского учета на 2013 год - «ведение раздельного учета по передаче электрической энергии сторонним потребителям и для собственного потребления, распределение расходов по указанному виду деятельности между субабонентами и организацей по решению регионального органа производятся в соответствии с пропорциональному отпуску (передаче) электрической энергии».</w:t>
      </w:r>
    </w:p>
    <w:p w:rsidR="00CB3866" w:rsidRDefault="00CB3866" w:rsidP="006A0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регулирования не принимались решения, требующие закрепления в учетной политике организации распределение расходов пропорционально отпуску (передаче) электрической энергии.</w:t>
      </w:r>
    </w:p>
    <w:p w:rsidR="00CB3866" w:rsidRPr="0099418A" w:rsidRDefault="00CB3866" w:rsidP="004F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анализа финансовой деятельности организации, выручка ОАО»АЗХО» от регулируемого вида деятельности за 2013 год составила 427,03 тыс. рублей или 0,9% от общей выручки организации. Регулируемый вид деятельности не является основным видом деятельности организации.</w:t>
      </w:r>
    </w:p>
    <w:p w:rsidR="00CB3866" w:rsidRDefault="00CB3866" w:rsidP="004F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распределение расходов ОАО «АЗХО» по регулируемогу виду деятельности пропорционально отпуску является нарушением требований Основ ценообразования  и </w:t>
      </w:r>
      <w:r w:rsidRPr="00AE29A8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AE29A8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AE29A8">
        <w:rPr>
          <w:sz w:val="28"/>
          <w:szCs w:val="28"/>
        </w:rPr>
        <w:t xml:space="preserve"> № 20-э/2</w:t>
      </w:r>
      <w:r>
        <w:rPr>
          <w:sz w:val="28"/>
          <w:szCs w:val="28"/>
        </w:rPr>
        <w:t>.</w:t>
      </w:r>
    </w:p>
    <w:p w:rsidR="00CB3866" w:rsidRPr="00247526" w:rsidRDefault="00CB3866" w:rsidP="00247526">
      <w:pPr>
        <w:ind w:firstLine="709"/>
        <w:jc w:val="both"/>
        <w:rPr>
          <w:sz w:val="28"/>
          <w:szCs w:val="28"/>
        </w:rPr>
      </w:pPr>
      <w:r w:rsidRPr="00247526">
        <w:rPr>
          <w:sz w:val="28"/>
          <w:szCs w:val="28"/>
        </w:rPr>
        <w:t>При корректировке НВВ 201</w:t>
      </w:r>
      <w:r>
        <w:rPr>
          <w:sz w:val="28"/>
          <w:szCs w:val="28"/>
        </w:rPr>
        <w:t>5</w:t>
      </w:r>
      <w:r w:rsidRPr="00247526">
        <w:rPr>
          <w:sz w:val="28"/>
          <w:szCs w:val="28"/>
        </w:rPr>
        <w:t xml:space="preserve"> года, с учетом положений п. 11 Методических указаний № 98-э, требований Основ ценообразования и Прогноза: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 w:rsidRPr="00247526">
        <w:rPr>
          <w:sz w:val="28"/>
          <w:szCs w:val="28"/>
        </w:rPr>
        <w:t>- индекс эффективности подконтрольных расходов определен в размере 1%;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индекс потребительских цен определен в размере 6,7%;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 w:rsidRPr="00247526">
        <w:rPr>
          <w:sz w:val="28"/>
          <w:szCs w:val="28"/>
        </w:rPr>
        <w:t>- коэффициент эластичности подконтрольных расходов по количеству активов, необходимых для осуществления регулируемой деятельности, учтен в размере 0,75;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 w:rsidRPr="00247526">
        <w:rPr>
          <w:sz w:val="28"/>
          <w:szCs w:val="28"/>
        </w:rPr>
        <w:t>- количество активов (условных единиц) ОАО «</w:t>
      </w:r>
      <w:r>
        <w:rPr>
          <w:sz w:val="28"/>
          <w:szCs w:val="28"/>
        </w:rPr>
        <w:t>АЗХО</w:t>
      </w:r>
      <w:r w:rsidRPr="00247526">
        <w:rPr>
          <w:sz w:val="28"/>
          <w:szCs w:val="28"/>
        </w:rPr>
        <w:t xml:space="preserve">», необходимых для осуществления регулируемого вида деятельности </w:t>
      </w:r>
      <w:r>
        <w:rPr>
          <w:sz w:val="28"/>
          <w:szCs w:val="28"/>
        </w:rPr>
        <w:t>составляет: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на 31.12.2014 – 32,81 у е;</w:t>
      </w:r>
    </w:p>
    <w:p w:rsidR="00CB3866" w:rsidRDefault="00CB3866" w:rsidP="0024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2015 год – 89,21 у е.</w:t>
      </w:r>
    </w:p>
    <w:p w:rsidR="00CB3866" w:rsidRPr="00247526" w:rsidRDefault="00CB3866" w:rsidP="0024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коэффициент индексации подконтрольных расходов на 2015 год составит</w:t>
      </w:r>
      <w:r w:rsidRPr="00266B0E">
        <w:rPr>
          <w:sz w:val="28"/>
          <w:szCs w:val="28"/>
        </w:rPr>
        <w:t xml:space="preserve"> 2,89956</w:t>
      </w:r>
      <w:r>
        <w:rPr>
          <w:sz w:val="28"/>
          <w:szCs w:val="28"/>
        </w:rPr>
        <w:t>.</w:t>
      </w:r>
    </w:p>
    <w:p w:rsidR="00CB3866" w:rsidRPr="0035318A" w:rsidRDefault="00CB3866" w:rsidP="00247526">
      <w:pPr>
        <w:ind w:firstLine="709"/>
        <w:jc w:val="both"/>
        <w:rPr>
          <w:sz w:val="28"/>
          <w:szCs w:val="28"/>
        </w:rPr>
      </w:pPr>
      <w:r w:rsidRPr="00247526">
        <w:rPr>
          <w:sz w:val="28"/>
          <w:szCs w:val="28"/>
        </w:rPr>
        <w:t>Показате</w:t>
      </w:r>
      <w:r>
        <w:rPr>
          <w:sz w:val="28"/>
          <w:szCs w:val="28"/>
        </w:rPr>
        <w:t>ли сведены в приложения № 2, № 5</w:t>
      </w:r>
      <w:r w:rsidRPr="00247526">
        <w:rPr>
          <w:sz w:val="28"/>
          <w:szCs w:val="28"/>
        </w:rPr>
        <w:t>.</w:t>
      </w:r>
    </w:p>
    <w:p w:rsidR="00CB3866" w:rsidRPr="00EE0C3C" w:rsidRDefault="00CB3866" w:rsidP="007528F8">
      <w:pPr>
        <w:ind w:firstLine="709"/>
        <w:jc w:val="both"/>
        <w:rPr>
          <w:sz w:val="28"/>
          <w:szCs w:val="28"/>
        </w:rPr>
      </w:pPr>
    </w:p>
    <w:p w:rsidR="00CB3866" w:rsidRPr="00A52048" w:rsidRDefault="00CB3866" w:rsidP="00197E3E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0C3C">
        <w:rPr>
          <w:b/>
          <w:sz w:val="28"/>
          <w:szCs w:val="28"/>
        </w:rPr>
        <w:t>Оценка финансового состояния организации, осуществляющей регулируемую деятельность</w:t>
      </w:r>
    </w:p>
    <w:p w:rsidR="00CB3866" w:rsidRPr="00FF3F0F" w:rsidRDefault="00CB3866" w:rsidP="00197E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3866" w:rsidRPr="00EE0C3C" w:rsidRDefault="00CB3866" w:rsidP="00066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«АЗХО»</w:t>
      </w:r>
      <w:r w:rsidRPr="00487B35">
        <w:rPr>
          <w:sz w:val="28"/>
          <w:szCs w:val="28"/>
        </w:rPr>
        <w:t xml:space="preserve"> применяет</w:t>
      </w:r>
      <w:r>
        <w:rPr>
          <w:sz w:val="28"/>
          <w:szCs w:val="28"/>
        </w:rPr>
        <w:t>ся</w:t>
      </w:r>
      <w:r w:rsidRPr="00487B35">
        <w:rPr>
          <w:sz w:val="28"/>
          <w:szCs w:val="28"/>
        </w:rPr>
        <w:t xml:space="preserve"> упрощенную систему</w:t>
      </w:r>
      <w:r w:rsidRPr="00C86325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 xml:space="preserve"> </w:t>
      </w:r>
      <w:r w:rsidRPr="00EE0C3C">
        <w:rPr>
          <w:sz w:val="28"/>
          <w:szCs w:val="28"/>
        </w:rPr>
        <w:t>в соответствии с требованиями гл. 26.2 Налогового кодекса.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 w:rsidRPr="003854E6">
        <w:rPr>
          <w:sz w:val="28"/>
          <w:szCs w:val="28"/>
        </w:rPr>
        <w:t>Объектом налогообложения признаны «Доходы, уменьшенные на величину расходов»</w:t>
      </w:r>
      <w:r>
        <w:rPr>
          <w:sz w:val="28"/>
          <w:szCs w:val="28"/>
        </w:rPr>
        <w:t xml:space="preserve"> </w:t>
      </w:r>
      <w:r w:rsidRPr="002B10B9">
        <w:rPr>
          <w:sz w:val="28"/>
          <w:szCs w:val="28"/>
        </w:rPr>
        <w:t>(</w:t>
      </w:r>
      <w:r>
        <w:rPr>
          <w:sz w:val="28"/>
          <w:szCs w:val="28"/>
        </w:rPr>
        <w:t>ставка налогообложения – 15%).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 w:rsidRPr="00E16121">
        <w:rPr>
          <w:sz w:val="28"/>
          <w:szCs w:val="28"/>
        </w:rPr>
        <w:t>Основным видом экономической деятельности явля</w:t>
      </w:r>
      <w:r>
        <w:rPr>
          <w:sz w:val="28"/>
          <w:szCs w:val="28"/>
        </w:rPr>
        <w:t>е</w:t>
      </w:r>
      <w:r w:rsidRPr="00E16121">
        <w:rPr>
          <w:sz w:val="28"/>
          <w:szCs w:val="28"/>
        </w:rPr>
        <w:t xml:space="preserve">тся </w:t>
      </w:r>
      <w:r>
        <w:rPr>
          <w:sz w:val="28"/>
          <w:szCs w:val="28"/>
        </w:rPr>
        <w:t>«Сдача внаем собственного нежилого недвижимого имущества» (ОКВЭД 70.20.2). Р</w:t>
      </w:r>
      <w:r w:rsidRPr="006677C0">
        <w:rPr>
          <w:sz w:val="28"/>
          <w:szCs w:val="28"/>
        </w:rPr>
        <w:t>егулируем</w:t>
      </w:r>
      <w:r>
        <w:rPr>
          <w:sz w:val="28"/>
          <w:szCs w:val="28"/>
        </w:rPr>
        <w:t>ый</w:t>
      </w:r>
      <w:r w:rsidRPr="006677C0">
        <w:rPr>
          <w:sz w:val="28"/>
          <w:szCs w:val="28"/>
        </w:rPr>
        <w:t xml:space="preserve"> вид деятельности – «оказание услуг по передаче электрической энергии»</w:t>
      </w:r>
      <w:r>
        <w:rPr>
          <w:sz w:val="28"/>
          <w:szCs w:val="28"/>
        </w:rPr>
        <w:t xml:space="preserve"> (ОКВЭД 40.12) не является основным видом деятельности.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1C7499">
        <w:rPr>
          <w:sz w:val="28"/>
          <w:szCs w:val="28"/>
        </w:rPr>
        <w:t xml:space="preserve"> финансового состояния </w:t>
      </w:r>
      <w:r>
        <w:rPr>
          <w:sz w:val="28"/>
          <w:szCs w:val="28"/>
        </w:rPr>
        <w:t xml:space="preserve">организации по итогам 2013 года выполнен </w:t>
      </w:r>
      <w:r w:rsidRPr="001C7499">
        <w:rPr>
          <w:sz w:val="28"/>
          <w:szCs w:val="28"/>
        </w:rPr>
        <w:t>на основе показателей, представленных</w:t>
      </w:r>
      <w:r>
        <w:rPr>
          <w:sz w:val="28"/>
          <w:szCs w:val="28"/>
        </w:rPr>
        <w:t xml:space="preserve"> в:</w:t>
      </w:r>
    </w:p>
    <w:p w:rsidR="00CB3866" w:rsidRPr="00BE3FF0" w:rsidRDefault="00CB3866" w:rsidP="00197E3E">
      <w:pPr>
        <w:ind w:firstLine="709"/>
        <w:jc w:val="both"/>
        <w:rPr>
          <w:sz w:val="28"/>
          <w:szCs w:val="28"/>
        </w:rPr>
      </w:pPr>
      <w:r w:rsidRPr="00BE3FF0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BE3FF0">
        <w:rPr>
          <w:sz w:val="28"/>
          <w:szCs w:val="28"/>
        </w:rPr>
        <w:t>алогов</w:t>
      </w:r>
      <w:r>
        <w:rPr>
          <w:sz w:val="28"/>
          <w:szCs w:val="28"/>
        </w:rPr>
        <w:t>ой</w:t>
      </w:r>
      <w:r w:rsidRPr="00BE3FF0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</w:t>
      </w:r>
      <w:r w:rsidRPr="00BE3FF0">
        <w:rPr>
          <w:sz w:val="28"/>
          <w:szCs w:val="28"/>
        </w:rPr>
        <w:t xml:space="preserve"> по налогу, уплачиваемому в связи с применением упрощенной системы налогообложения» (далее – форма </w:t>
      </w:r>
      <w:r>
        <w:rPr>
          <w:sz w:val="28"/>
          <w:szCs w:val="28"/>
        </w:rPr>
        <w:t xml:space="preserve">         </w:t>
      </w:r>
      <w:r w:rsidRPr="00BE3FF0">
        <w:rPr>
          <w:sz w:val="28"/>
          <w:szCs w:val="28"/>
        </w:rPr>
        <w:t>№ 1152017) (за 201</w:t>
      </w:r>
      <w:r>
        <w:rPr>
          <w:sz w:val="28"/>
          <w:szCs w:val="28"/>
        </w:rPr>
        <w:t>3</w:t>
      </w:r>
      <w:r w:rsidRPr="00BE3FF0">
        <w:rPr>
          <w:sz w:val="28"/>
          <w:szCs w:val="28"/>
        </w:rPr>
        <w:t xml:space="preserve"> год);</w:t>
      </w:r>
    </w:p>
    <w:p w:rsidR="00CB3866" w:rsidRPr="00BE3FF0" w:rsidRDefault="00CB3866" w:rsidP="00197E3E">
      <w:pPr>
        <w:ind w:firstLine="709"/>
        <w:jc w:val="both"/>
        <w:rPr>
          <w:sz w:val="28"/>
          <w:szCs w:val="28"/>
        </w:rPr>
      </w:pPr>
      <w:r w:rsidRPr="00BE3FF0">
        <w:rPr>
          <w:sz w:val="28"/>
          <w:szCs w:val="28"/>
        </w:rPr>
        <w:t xml:space="preserve">- </w:t>
      </w:r>
      <w:r>
        <w:rPr>
          <w:sz w:val="28"/>
          <w:szCs w:val="28"/>
        </w:rPr>
        <w:t>бухгалтерскому балансу (форма по ОКУД 0710001); отчете о финансовых результатах (форма по ОКУД 0710002) за 2013 год;</w:t>
      </w:r>
    </w:p>
    <w:p w:rsidR="00CB3866" w:rsidRPr="00BE3FF0" w:rsidRDefault="00CB3866" w:rsidP="0019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форме</w:t>
      </w:r>
      <w:r w:rsidRPr="00BE3FF0">
        <w:rPr>
          <w:sz w:val="28"/>
          <w:szCs w:val="28"/>
        </w:rPr>
        <w:t xml:space="preserve"> № П</w:t>
      </w:r>
      <w:r>
        <w:rPr>
          <w:sz w:val="28"/>
          <w:szCs w:val="28"/>
        </w:rPr>
        <w:t xml:space="preserve">М «Сведения об основных показателях деятельности малого предприятия </w:t>
      </w:r>
      <w:r w:rsidRPr="00BE3FF0">
        <w:rPr>
          <w:sz w:val="28"/>
          <w:szCs w:val="28"/>
        </w:rPr>
        <w:t xml:space="preserve">(за </w:t>
      </w:r>
      <w:r>
        <w:rPr>
          <w:sz w:val="28"/>
          <w:szCs w:val="28"/>
        </w:rPr>
        <w:t>2013</w:t>
      </w:r>
      <w:r w:rsidRPr="00BE3FF0">
        <w:rPr>
          <w:sz w:val="28"/>
          <w:szCs w:val="28"/>
        </w:rPr>
        <w:t>год)</w:t>
      </w:r>
      <w:r>
        <w:rPr>
          <w:sz w:val="28"/>
          <w:szCs w:val="28"/>
        </w:rPr>
        <w:t>.</w:t>
      </w:r>
    </w:p>
    <w:p w:rsidR="00CB3866" w:rsidRPr="00EE0C3C" w:rsidRDefault="00CB3866" w:rsidP="00197E3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Финансовая деятельность ОАО «АЗХО» </w:t>
      </w:r>
      <w:r>
        <w:rPr>
          <w:sz w:val="28"/>
          <w:szCs w:val="28"/>
        </w:rPr>
        <w:t xml:space="preserve">за 2013 год </w:t>
      </w:r>
      <w:r w:rsidRPr="00EE0C3C">
        <w:rPr>
          <w:sz w:val="28"/>
          <w:szCs w:val="28"/>
        </w:rPr>
        <w:t>определена следующими показателями:</w:t>
      </w:r>
    </w:p>
    <w:p w:rsidR="00CB3866" w:rsidRPr="00EE0C3C" w:rsidRDefault="00CB3866" w:rsidP="00197E3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 - сумма полученных доходов </w:t>
      </w:r>
      <w:r>
        <w:rPr>
          <w:sz w:val="28"/>
          <w:szCs w:val="28"/>
        </w:rPr>
        <w:t>50795,3</w:t>
      </w:r>
      <w:r w:rsidRPr="00EE0C3C">
        <w:rPr>
          <w:sz w:val="28"/>
          <w:szCs w:val="28"/>
        </w:rPr>
        <w:t xml:space="preserve"> тыс. рублей (строка 210 формы № 1152017);</w:t>
      </w:r>
    </w:p>
    <w:p w:rsidR="00CB3866" w:rsidRPr="00EE0C3C" w:rsidRDefault="00CB3866" w:rsidP="00197E3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сумма произведенных расходов </w:t>
      </w:r>
      <w:r>
        <w:rPr>
          <w:sz w:val="28"/>
          <w:szCs w:val="28"/>
        </w:rPr>
        <w:t xml:space="preserve">47308,3 </w:t>
      </w:r>
      <w:r w:rsidRPr="00EE0C3C">
        <w:rPr>
          <w:sz w:val="28"/>
          <w:szCs w:val="28"/>
        </w:rPr>
        <w:t>тыс. рублей (строка 220 формы № 1152017);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сумма исчисленного налога, уплачиваемого в связи с применением упрощенной системы налогообложения (15%) </w:t>
      </w:r>
      <w:r>
        <w:rPr>
          <w:sz w:val="28"/>
          <w:szCs w:val="28"/>
        </w:rPr>
        <w:t>523,061</w:t>
      </w:r>
      <w:r w:rsidRPr="00EE0C3C">
        <w:rPr>
          <w:sz w:val="28"/>
          <w:szCs w:val="28"/>
        </w:rPr>
        <w:t xml:space="preserve"> тыс. рублей (строка 260 формы № 1152017)</w:t>
      </w:r>
      <w:r>
        <w:rPr>
          <w:sz w:val="28"/>
          <w:szCs w:val="28"/>
        </w:rPr>
        <w:t>.</w:t>
      </w:r>
    </w:p>
    <w:p w:rsidR="00CB3866" w:rsidRDefault="00CB3866" w:rsidP="00DD44C7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Выручка ОАО «АЗХО» в 201</w:t>
      </w:r>
      <w:r>
        <w:rPr>
          <w:sz w:val="28"/>
          <w:szCs w:val="28"/>
        </w:rPr>
        <w:t>3</w:t>
      </w:r>
      <w:r w:rsidRPr="00EE0C3C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 xml:space="preserve">49262 тыс. рублей, в абсолютном выражении рост к 2012 году на 1777 тыс. рублей или 103,7%. 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</w:p>
    <w:p w:rsidR="00CB3866" w:rsidRPr="00EE0C3C" w:rsidRDefault="00CB3866" w:rsidP="00197E3E">
      <w:pPr>
        <w:ind w:firstLine="709"/>
        <w:jc w:val="both"/>
        <w:rPr>
          <w:sz w:val="28"/>
          <w:szCs w:val="28"/>
        </w:rPr>
      </w:pPr>
      <w:r w:rsidRPr="00B67B1A">
        <w:rPr>
          <w:sz w:val="28"/>
          <w:szCs w:val="28"/>
        </w:rPr>
        <w:t>Финансовым результатом деятельности ОАО «АЗХО» за 2013 год стала прибыль в размере 641,0 тыс. руб.</w:t>
      </w:r>
      <w:r>
        <w:rPr>
          <w:sz w:val="28"/>
          <w:szCs w:val="28"/>
        </w:rPr>
        <w:t xml:space="preserve"> (результатом 2012 года стала прибыль в размере 451 тыс. рублей).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 год в структуре баланса организации наблюдается увеличение оборотных активов на 4940 тыс. рублей или на 30,4</w:t>
      </w:r>
      <w:r w:rsidRPr="002B2974">
        <w:rPr>
          <w:sz w:val="28"/>
          <w:szCs w:val="28"/>
        </w:rPr>
        <w:t>%</w:t>
      </w:r>
      <w:r>
        <w:rPr>
          <w:sz w:val="28"/>
          <w:szCs w:val="28"/>
        </w:rPr>
        <w:t>. Дебиторская задолженность  в анализируемом периоде снизилась на 1392 тыс. рублей или на 16,7% и составила 6958 тыс. рублей.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активов наибольший удельный вес занимают основные средства (49,8% на конец анализируемого периода), по ним зафиксирован рост на 7,5% или на 2638 тыс. рублей к уровню 2012 года.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оборотных активов (30,4%) превышают темпы роста внеоборотных активов (5,1%), что характеризует ОАО «АЗХО» как развивающееся предприятие и свидетельствует о расширении основной (производственной) деятельности.</w:t>
      </w:r>
    </w:p>
    <w:p w:rsidR="00CB3866" w:rsidRPr="003E5126" w:rsidRDefault="00CB3866" w:rsidP="00B47B60">
      <w:pPr>
        <w:ind w:firstLine="720"/>
        <w:jc w:val="both"/>
        <w:rPr>
          <w:sz w:val="28"/>
          <w:szCs w:val="28"/>
        </w:rPr>
      </w:pPr>
      <w:r w:rsidRPr="003E5126">
        <w:rPr>
          <w:sz w:val="28"/>
          <w:szCs w:val="28"/>
        </w:rPr>
        <w:t xml:space="preserve">Расчет коэффициентов </w:t>
      </w:r>
      <w:r>
        <w:rPr>
          <w:sz w:val="28"/>
          <w:szCs w:val="28"/>
        </w:rPr>
        <w:t xml:space="preserve">ликвидности </w:t>
      </w:r>
      <w:r w:rsidRPr="003E5126">
        <w:rPr>
          <w:sz w:val="28"/>
          <w:szCs w:val="28"/>
        </w:rPr>
        <w:t>приведен в таблице:</w:t>
      </w:r>
    </w:p>
    <w:tbl>
      <w:tblPr>
        <w:tblW w:w="5000" w:type="pct"/>
        <w:tblInd w:w="98" w:type="dxa"/>
        <w:tblLook w:val="0000"/>
      </w:tblPr>
      <w:tblGrid>
        <w:gridCol w:w="3339"/>
        <w:gridCol w:w="2562"/>
        <w:gridCol w:w="1900"/>
        <w:gridCol w:w="1769"/>
      </w:tblGrid>
      <w:tr w:rsidR="00CB3866" w:rsidRPr="003E5126" w:rsidTr="00394F6A">
        <w:trPr>
          <w:trHeight w:val="17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B3866" w:rsidRPr="003E5126" w:rsidRDefault="00CB3866" w:rsidP="00394F6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3E512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B3866" w:rsidRPr="003E5126" w:rsidRDefault="00CB3866" w:rsidP="00394F6A">
            <w:pPr>
              <w:jc w:val="center"/>
              <w:rPr>
                <w:b/>
                <w:bCs/>
                <w:sz w:val="28"/>
                <w:szCs w:val="28"/>
              </w:rPr>
            </w:pPr>
            <w:r w:rsidRPr="003E5126">
              <w:rPr>
                <w:b/>
                <w:bCs/>
                <w:sz w:val="28"/>
                <w:szCs w:val="28"/>
              </w:rPr>
              <w:t>Рекомендуемые значения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B3866" w:rsidRPr="007A6806" w:rsidRDefault="00CB3866" w:rsidP="00394F6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06">
              <w:rPr>
                <w:b/>
                <w:bCs/>
                <w:sz w:val="24"/>
                <w:szCs w:val="24"/>
              </w:rPr>
              <w:t>На начало 2013 года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B3866" w:rsidRPr="007A6806" w:rsidRDefault="00CB3866" w:rsidP="00394F6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06">
              <w:rPr>
                <w:b/>
                <w:bCs/>
                <w:sz w:val="24"/>
                <w:szCs w:val="24"/>
              </w:rPr>
              <w:t>На конец 2013 года</w:t>
            </w:r>
          </w:p>
        </w:tc>
      </w:tr>
      <w:tr w:rsidR="00CB3866" w:rsidRPr="003E5126" w:rsidTr="00394F6A">
        <w:trPr>
          <w:trHeight w:val="170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rPr>
                <w:sz w:val="28"/>
                <w:szCs w:val="28"/>
              </w:rPr>
            </w:pPr>
            <w:r w:rsidRPr="003E5126">
              <w:rPr>
                <w:sz w:val="28"/>
                <w:szCs w:val="28"/>
              </w:rPr>
              <w:t xml:space="preserve">Абсолютная ликвидность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≥ </w:t>
            </w:r>
            <w:r w:rsidRPr="003E5126">
              <w:rPr>
                <w:sz w:val="28"/>
                <w:szCs w:val="28"/>
              </w:rPr>
              <w:t>0,2-0,5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CB3866" w:rsidRPr="003E5126" w:rsidTr="00394F6A">
        <w:trPr>
          <w:trHeight w:val="17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rPr>
                <w:sz w:val="28"/>
                <w:szCs w:val="28"/>
              </w:rPr>
            </w:pPr>
            <w:r w:rsidRPr="003E5126">
              <w:rPr>
                <w:sz w:val="28"/>
                <w:szCs w:val="28"/>
              </w:rPr>
              <w:t xml:space="preserve">Быстрая ликвидность 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≥0,8-1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</w:tr>
      <w:tr w:rsidR="00CB3866" w:rsidRPr="003E5126" w:rsidTr="00394F6A">
        <w:trPr>
          <w:trHeight w:val="17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rPr>
                <w:sz w:val="28"/>
                <w:szCs w:val="28"/>
              </w:rPr>
            </w:pPr>
            <w:r w:rsidRPr="003E5126">
              <w:rPr>
                <w:sz w:val="28"/>
                <w:szCs w:val="28"/>
              </w:rPr>
              <w:t>Текущая ликвидность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866" w:rsidRPr="003E5126" w:rsidRDefault="00CB3866" w:rsidP="0039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3866" w:rsidRPr="003E5126" w:rsidRDefault="00CB3866" w:rsidP="00394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</w:tbl>
    <w:p w:rsidR="00CB3866" w:rsidRPr="00B22837" w:rsidRDefault="00CB3866" w:rsidP="00197E3E">
      <w:pPr>
        <w:ind w:firstLine="709"/>
        <w:jc w:val="both"/>
        <w:rPr>
          <w:sz w:val="28"/>
          <w:szCs w:val="28"/>
        </w:rPr>
      </w:pPr>
      <w:r w:rsidRPr="00B22837">
        <w:rPr>
          <w:sz w:val="28"/>
          <w:szCs w:val="28"/>
        </w:rPr>
        <w:t>Согласно расчету финансовых коэффициентов рыночной устойчивости О</w:t>
      </w:r>
      <w:r>
        <w:rPr>
          <w:sz w:val="28"/>
          <w:szCs w:val="28"/>
        </w:rPr>
        <w:t>А</w:t>
      </w:r>
      <w:r w:rsidRPr="00B22837">
        <w:rPr>
          <w:sz w:val="28"/>
          <w:szCs w:val="28"/>
        </w:rPr>
        <w:t>О «</w:t>
      </w:r>
      <w:r>
        <w:rPr>
          <w:sz w:val="28"/>
          <w:szCs w:val="28"/>
        </w:rPr>
        <w:t>АЗХО</w:t>
      </w:r>
      <w:r w:rsidRPr="00B22837">
        <w:rPr>
          <w:sz w:val="28"/>
          <w:szCs w:val="28"/>
        </w:rPr>
        <w:t>»:</w:t>
      </w:r>
    </w:p>
    <w:p w:rsidR="00CB3866" w:rsidRPr="00B22837" w:rsidRDefault="00CB3866" w:rsidP="00197E3E">
      <w:pPr>
        <w:pStyle w:val="ListParagraph"/>
        <w:numPr>
          <w:ilvl w:val="0"/>
          <w:numId w:val="43"/>
        </w:numPr>
        <w:ind w:left="1134"/>
        <w:jc w:val="both"/>
        <w:rPr>
          <w:sz w:val="28"/>
          <w:szCs w:val="28"/>
        </w:rPr>
      </w:pPr>
      <w:r w:rsidRPr="00B22837">
        <w:rPr>
          <w:sz w:val="28"/>
          <w:szCs w:val="28"/>
        </w:rPr>
        <w:t>коэффициент обеспеченности собственными оборотными средствами на конец 2013 года составил 0,</w:t>
      </w:r>
      <w:r>
        <w:rPr>
          <w:sz w:val="28"/>
          <w:szCs w:val="28"/>
        </w:rPr>
        <w:t>18</w:t>
      </w:r>
      <w:r w:rsidRPr="00B22837">
        <w:rPr>
          <w:sz w:val="28"/>
          <w:szCs w:val="28"/>
        </w:rPr>
        <w:t xml:space="preserve"> (норматив ≥0,1). Чем выше показатель, тем лучше финансовое состояние предприятия; </w:t>
      </w:r>
    </w:p>
    <w:p w:rsidR="00CB3866" w:rsidRPr="00B22837" w:rsidRDefault="00CB3866" w:rsidP="00197E3E">
      <w:pPr>
        <w:pStyle w:val="ListParagraph"/>
        <w:numPr>
          <w:ilvl w:val="0"/>
          <w:numId w:val="43"/>
        </w:numPr>
        <w:ind w:left="1134"/>
        <w:jc w:val="both"/>
        <w:rPr>
          <w:sz w:val="28"/>
          <w:szCs w:val="28"/>
        </w:rPr>
      </w:pPr>
      <w:r w:rsidRPr="00B22837">
        <w:rPr>
          <w:sz w:val="28"/>
          <w:szCs w:val="28"/>
        </w:rPr>
        <w:t>коэффициент маневренности собственного капитала</w:t>
      </w:r>
      <w:r>
        <w:rPr>
          <w:sz w:val="28"/>
          <w:szCs w:val="28"/>
        </w:rPr>
        <w:t xml:space="preserve"> на конец 2013 года составил 0,0</w:t>
      </w:r>
      <w:r w:rsidRPr="00B22837">
        <w:rPr>
          <w:sz w:val="28"/>
          <w:szCs w:val="28"/>
        </w:rPr>
        <w:t xml:space="preserve">6 (норматив ≥0,2-0,5). </w:t>
      </w:r>
      <w:r>
        <w:rPr>
          <w:sz w:val="28"/>
          <w:szCs w:val="28"/>
        </w:rPr>
        <w:t>Значение коэффициента маневренности ниже допустимого уровня, т. е. значительная часть собственных средств предприятия закреплена в ценностях иммобильного характера, которые являются менее ликвидными, т.е. не могут быть достаточно быстро преобразованы в денежную наличность. Изменение же коэффициента маневренности собственных средств (с минус 0,08 на начало года) до плюс 0,06 на конец года свидетельствует о незначительном росте финансовой устойчивости предприятия</w:t>
      </w:r>
      <w:r w:rsidRPr="00B22837">
        <w:rPr>
          <w:sz w:val="28"/>
          <w:szCs w:val="28"/>
        </w:rPr>
        <w:t>;</w:t>
      </w:r>
    </w:p>
    <w:p w:rsidR="00CB3866" w:rsidRDefault="00CB3866" w:rsidP="00197E3E">
      <w:pPr>
        <w:pStyle w:val="ListParagraph"/>
        <w:numPr>
          <w:ilvl w:val="0"/>
          <w:numId w:val="43"/>
        </w:numPr>
        <w:ind w:left="1134"/>
        <w:jc w:val="both"/>
        <w:rPr>
          <w:sz w:val="28"/>
          <w:szCs w:val="28"/>
        </w:rPr>
      </w:pPr>
      <w:r w:rsidRPr="00B22837">
        <w:rPr>
          <w:sz w:val="28"/>
          <w:szCs w:val="28"/>
        </w:rPr>
        <w:t>коэффициент автономии (показывает долю собственных средств в общей сумме всех средств предприятия)</w:t>
      </w:r>
      <w:r>
        <w:rPr>
          <w:sz w:val="28"/>
          <w:szCs w:val="28"/>
        </w:rPr>
        <w:t>,</w:t>
      </w:r>
      <w:r w:rsidRPr="00B22837">
        <w:rPr>
          <w:sz w:val="28"/>
          <w:szCs w:val="28"/>
        </w:rPr>
        <w:t xml:space="preserve"> на конец 2013 года составил 0,</w:t>
      </w:r>
      <w:r>
        <w:rPr>
          <w:sz w:val="28"/>
          <w:szCs w:val="28"/>
        </w:rPr>
        <w:t>77</w:t>
      </w:r>
      <w:r w:rsidRPr="00B22837">
        <w:rPr>
          <w:sz w:val="28"/>
          <w:szCs w:val="28"/>
        </w:rPr>
        <w:t xml:space="preserve"> (норматив ≥0,5). Превышени</w:t>
      </w:r>
      <w:r>
        <w:rPr>
          <w:sz w:val="28"/>
          <w:szCs w:val="28"/>
        </w:rPr>
        <w:t>е</w:t>
      </w:r>
      <w:r w:rsidRPr="00B22837">
        <w:rPr>
          <w:sz w:val="28"/>
          <w:szCs w:val="28"/>
        </w:rPr>
        <w:t xml:space="preserve"> норматива указывает на увеличение финансовой независимости, расширение возможности привлечения средств со стороны</w:t>
      </w:r>
      <w:r>
        <w:rPr>
          <w:sz w:val="28"/>
          <w:szCs w:val="28"/>
        </w:rPr>
        <w:t>.</w:t>
      </w:r>
    </w:p>
    <w:p w:rsidR="00CB3866" w:rsidRPr="005820FA" w:rsidRDefault="00CB3866" w:rsidP="004721FB">
      <w:pPr>
        <w:ind w:firstLine="709"/>
        <w:jc w:val="both"/>
        <w:rPr>
          <w:sz w:val="28"/>
          <w:szCs w:val="28"/>
        </w:rPr>
      </w:pPr>
      <w:r w:rsidRPr="00D72F4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из данных анализа следует, что ОАО «АЗХО» платежеспособно, финансово устойчиво, риск банкротства низок.</w:t>
      </w:r>
    </w:p>
    <w:p w:rsidR="00CB3866" w:rsidRDefault="00CB3866" w:rsidP="00197E3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По данным формы ПМ «Сведения об основных показателях деятельности малого предприятия» за 201</w:t>
      </w:r>
      <w:r>
        <w:rPr>
          <w:sz w:val="28"/>
          <w:szCs w:val="28"/>
        </w:rPr>
        <w:t>3</w:t>
      </w:r>
      <w:r w:rsidRPr="00EE0C3C">
        <w:rPr>
          <w:sz w:val="28"/>
          <w:szCs w:val="28"/>
        </w:rPr>
        <w:t xml:space="preserve"> год средняя численность работников списочного состава ОАО «АЗХО» составила 9</w:t>
      </w:r>
      <w:r>
        <w:rPr>
          <w:sz w:val="28"/>
          <w:szCs w:val="28"/>
        </w:rPr>
        <w:t>2</w:t>
      </w:r>
      <w:r w:rsidRPr="00EE0C3C">
        <w:rPr>
          <w:sz w:val="28"/>
          <w:szCs w:val="28"/>
        </w:rPr>
        <w:t xml:space="preserve"> человека (за соответствующий период прошлого года – </w:t>
      </w:r>
      <w:r>
        <w:rPr>
          <w:sz w:val="28"/>
          <w:szCs w:val="28"/>
        </w:rPr>
        <w:t>94</w:t>
      </w:r>
      <w:r w:rsidRPr="00EE0C3C">
        <w:rPr>
          <w:sz w:val="28"/>
          <w:szCs w:val="28"/>
        </w:rPr>
        <w:t xml:space="preserve"> человек). Фонд начисленной заработной платы за 201</w:t>
      </w:r>
      <w:r>
        <w:rPr>
          <w:sz w:val="28"/>
          <w:szCs w:val="28"/>
        </w:rPr>
        <w:t>3</w:t>
      </w:r>
      <w:r w:rsidRPr="00EE0C3C">
        <w:rPr>
          <w:sz w:val="28"/>
          <w:szCs w:val="28"/>
        </w:rPr>
        <w:t xml:space="preserve"> год составил 9</w:t>
      </w:r>
      <w:r>
        <w:rPr>
          <w:sz w:val="28"/>
          <w:szCs w:val="28"/>
        </w:rPr>
        <w:t>89</w:t>
      </w:r>
      <w:r w:rsidRPr="00EE0C3C">
        <w:rPr>
          <w:sz w:val="28"/>
          <w:szCs w:val="28"/>
        </w:rPr>
        <w:t>8 рублей (за 201</w:t>
      </w:r>
      <w:r>
        <w:rPr>
          <w:sz w:val="28"/>
          <w:szCs w:val="28"/>
        </w:rPr>
        <w:t>2</w:t>
      </w:r>
      <w:r w:rsidRPr="00EE0C3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EE0C3C">
        <w:rPr>
          <w:sz w:val="28"/>
          <w:szCs w:val="28"/>
        </w:rPr>
        <w:t xml:space="preserve"> </w:t>
      </w:r>
      <w:r>
        <w:rPr>
          <w:sz w:val="28"/>
          <w:szCs w:val="28"/>
        </w:rPr>
        <w:t>9138</w:t>
      </w:r>
      <w:r w:rsidRPr="00EE0C3C">
        <w:rPr>
          <w:sz w:val="28"/>
          <w:szCs w:val="28"/>
        </w:rPr>
        <w:t xml:space="preserve"> рублей). Средняя заработная плата работников ОАО «АЗХО» в 201</w:t>
      </w:r>
      <w:r>
        <w:rPr>
          <w:sz w:val="28"/>
          <w:szCs w:val="28"/>
        </w:rPr>
        <w:t>3</w:t>
      </w:r>
      <w:r w:rsidRPr="00EE0C3C">
        <w:rPr>
          <w:sz w:val="28"/>
          <w:szCs w:val="28"/>
        </w:rPr>
        <w:t xml:space="preserve"> году сос</w:t>
      </w:r>
      <w:r>
        <w:rPr>
          <w:sz w:val="28"/>
          <w:szCs w:val="28"/>
        </w:rPr>
        <w:t>тавила 8,966 тыс. рублей (в 2012</w:t>
      </w:r>
      <w:r w:rsidRPr="00EE0C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8,101</w:t>
      </w:r>
      <w:r w:rsidRPr="00EE0C3C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рост заработной платы на 1 человека составил 110,68%.</w:t>
      </w:r>
    </w:p>
    <w:p w:rsidR="00CB3866" w:rsidRDefault="00CB3866" w:rsidP="00197E3E">
      <w:pPr>
        <w:ind w:firstLine="709"/>
        <w:jc w:val="both"/>
      </w:pPr>
      <w:r w:rsidRPr="004721FB">
        <w:rPr>
          <w:sz w:val="28"/>
          <w:szCs w:val="28"/>
        </w:rPr>
        <w:t>Доля выручки от регулируемого вида деятельности – «оказание услуг по передаче электрической энергии» (427,03 тыс. рублей) от общей выручки (49262 тыс. рублей) ОАО «АЗХО» в 2013 году составила 0,9%</w:t>
      </w:r>
      <w:r>
        <w:rPr>
          <w:sz w:val="28"/>
          <w:szCs w:val="28"/>
        </w:rPr>
        <w:t>.</w:t>
      </w:r>
    </w:p>
    <w:p w:rsidR="00CB3866" w:rsidRDefault="00CB3866" w:rsidP="00FB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</w:t>
      </w:r>
      <w:r w:rsidRPr="004721FB">
        <w:rPr>
          <w:sz w:val="28"/>
          <w:szCs w:val="28"/>
        </w:rPr>
        <w:t xml:space="preserve"> ОАО «АЗХО» </w:t>
      </w:r>
      <w:r>
        <w:rPr>
          <w:sz w:val="28"/>
          <w:szCs w:val="28"/>
        </w:rPr>
        <w:t>в 2013 году результатом деятельности от оказания услуг по передаче электрической энергии стал убыток в размере 4275,99 тыс. рублей. Ввиду того что ОАО «АЗХО» ведение раздельного учета осуществляется с нарушением требований законодательства, указанный результат деятельности экспертной группой определяется как экономически необоснованный.</w:t>
      </w:r>
    </w:p>
    <w:p w:rsidR="00CB3866" w:rsidRDefault="00CB3866" w:rsidP="00197E3E">
      <w:pPr>
        <w:ind w:firstLine="708"/>
        <w:jc w:val="both"/>
        <w:rPr>
          <w:sz w:val="28"/>
          <w:szCs w:val="28"/>
        </w:rPr>
      </w:pPr>
    </w:p>
    <w:p w:rsidR="00CB3866" w:rsidRDefault="00CB3866" w:rsidP="005663C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 w:rsidRPr="00EE0C3C">
        <w:rPr>
          <w:b/>
          <w:sz w:val="28"/>
          <w:szCs w:val="28"/>
        </w:rPr>
        <w:t>Анализ основных технико-экономических показателей.</w:t>
      </w:r>
    </w:p>
    <w:p w:rsidR="00CB3866" w:rsidRPr="005663C7" w:rsidRDefault="00CB3866" w:rsidP="005663C7">
      <w:pPr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CB3866" w:rsidRDefault="00CB3866" w:rsidP="00D060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14</w:t>
      </w:r>
      <w:r w:rsidRPr="00EE0C3C">
        <w:rPr>
          <w:sz w:val="28"/>
          <w:szCs w:val="28"/>
        </w:rPr>
        <w:t xml:space="preserve"> Основ ценообразования расчетный объем производства продукции и (или) оказываемых услуг определяется исходя из формируемого Федеральной службой по тарифам </w:t>
      </w:r>
      <w:r>
        <w:rPr>
          <w:sz w:val="28"/>
          <w:szCs w:val="28"/>
        </w:rPr>
        <w:t xml:space="preserve">(далее - ФСТ России) </w:t>
      </w:r>
      <w:r w:rsidRPr="00EE0C3C">
        <w:rPr>
          <w:sz w:val="28"/>
          <w:szCs w:val="28"/>
        </w:rPr>
        <w:t>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(далее - прогнозный баланс).</w:t>
      </w:r>
    </w:p>
    <w:p w:rsidR="00CB3866" w:rsidRDefault="00CB3866" w:rsidP="00352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сводного прогнозного баланса на территории Астраханской области на 2015 год определены приказом ФСТ России от 27.06.2014 № 170-э/1 (с изм. и доп. от 27.11.2014 № 276-э/2).</w:t>
      </w:r>
    </w:p>
    <w:p w:rsidR="00CB3866" w:rsidRDefault="00CB3866" w:rsidP="008A3B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п.5 </w:t>
      </w:r>
      <w:r w:rsidRPr="00440A86">
        <w:rPr>
          <w:sz w:val="28"/>
          <w:szCs w:val="28"/>
        </w:rPr>
        <w:t>постановления Правительства Российской Федерации от 31.07.2014 № 750 «О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комплексе»</w:t>
      </w:r>
      <w:r>
        <w:rPr>
          <w:sz w:val="28"/>
          <w:szCs w:val="28"/>
        </w:rPr>
        <w:t xml:space="preserve"> и на основании п.38 Основ ценообразования, приказов Минэнерго России от 22.07.2014 № 449, от 30.09.2014 № 674, письма ФСТ России от 22.10 2014 № 09-3486, распоряжением службы по тарифам Астраханской области от 26.11.2014 № 144 установлены величины технологического расхода потерь электрической энергии ОАО «АЗХО» на 2015 год</w:t>
      </w:r>
    </w:p>
    <w:p w:rsidR="00CB3866" w:rsidRPr="00EE0C3C" w:rsidRDefault="00CB3866" w:rsidP="0007365E">
      <w:pPr>
        <w:pStyle w:val="ListParagraph"/>
        <w:ind w:left="0" w:firstLine="720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С учетом изложенного, при расчете тарифов </w:t>
      </w:r>
      <w:r w:rsidRPr="00EE0C3C">
        <w:rPr>
          <w:color w:val="FF0000"/>
          <w:sz w:val="28"/>
          <w:szCs w:val="28"/>
        </w:rPr>
        <w:t>ОАО «АЗХО»</w:t>
      </w:r>
      <w:r w:rsidRPr="00EE0C3C">
        <w:rPr>
          <w:color w:val="000000"/>
          <w:sz w:val="28"/>
          <w:szCs w:val="28"/>
        </w:rPr>
        <w:t xml:space="preserve"> </w:t>
      </w:r>
      <w:r w:rsidRPr="00EE0C3C">
        <w:rPr>
          <w:sz w:val="28"/>
          <w:szCs w:val="28"/>
        </w:rPr>
        <w:t>на период регулирования с 01.01.201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потерь </w:t>
      </w:r>
      <w:r w:rsidRPr="00EE0C3C">
        <w:rPr>
          <w:sz w:val="28"/>
          <w:szCs w:val="28"/>
        </w:rPr>
        <w:t xml:space="preserve">электрической энергии </w:t>
      </w:r>
      <w:r>
        <w:rPr>
          <w:sz w:val="28"/>
          <w:szCs w:val="28"/>
        </w:rPr>
        <w:t xml:space="preserve">в </w:t>
      </w:r>
      <w:r w:rsidRPr="00335AB4">
        <w:rPr>
          <w:sz w:val="28"/>
          <w:szCs w:val="28"/>
        </w:rPr>
        <w:t xml:space="preserve">части субабонентов </w:t>
      </w:r>
      <w:r w:rsidRPr="00EE0C3C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по году </w:t>
      </w:r>
      <w:r w:rsidRPr="00EE0C3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0,016</w:t>
      </w:r>
      <w:r w:rsidRPr="00EE0C3C">
        <w:rPr>
          <w:sz w:val="28"/>
          <w:szCs w:val="28"/>
        </w:rPr>
        <w:t xml:space="preserve"> млн. кВтч</w:t>
      </w:r>
      <w:r>
        <w:rPr>
          <w:sz w:val="28"/>
          <w:szCs w:val="28"/>
        </w:rPr>
        <w:t xml:space="preserve">, </w:t>
      </w:r>
      <w:r w:rsidRPr="00EE0C3C">
        <w:rPr>
          <w:sz w:val="28"/>
          <w:szCs w:val="28"/>
        </w:rPr>
        <w:t>в т.ч.:</w:t>
      </w:r>
    </w:p>
    <w:p w:rsidR="00CB3866" w:rsidRPr="00EE0C3C" w:rsidRDefault="00CB3866" w:rsidP="0007365E">
      <w:pPr>
        <w:pStyle w:val="ListParagraph"/>
        <w:ind w:left="0"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- с 01.01.201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по 30.06.201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– </w:t>
      </w:r>
      <w:r w:rsidRPr="00335AB4">
        <w:rPr>
          <w:sz w:val="28"/>
          <w:szCs w:val="28"/>
        </w:rPr>
        <w:t>0,0</w:t>
      </w:r>
      <w:r>
        <w:rPr>
          <w:sz w:val="28"/>
          <w:szCs w:val="28"/>
        </w:rPr>
        <w:t>0</w:t>
      </w:r>
      <w:r w:rsidRPr="00335AB4">
        <w:rPr>
          <w:sz w:val="28"/>
          <w:szCs w:val="28"/>
        </w:rPr>
        <w:t xml:space="preserve">81 млн. кВтч </w:t>
      </w:r>
      <w:r>
        <w:rPr>
          <w:sz w:val="28"/>
          <w:szCs w:val="28"/>
        </w:rPr>
        <w:t xml:space="preserve">или </w:t>
      </w:r>
      <w:r>
        <w:rPr>
          <w:color w:val="FF0000"/>
          <w:sz w:val="28"/>
          <w:szCs w:val="28"/>
        </w:rPr>
        <w:t>1,3</w:t>
      </w:r>
      <w:r w:rsidRPr="00EE0C3C">
        <w:rPr>
          <w:color w:val="FF0000"/>
          <w:sz w:val="28"/>
          <w:szCs w:val="28"/>
        </w:rPr>
        <w:t xml:space="preserve"> %</w:t>
      </w:r>
      <w:r w:rsidRPr="00EE0C3C">
        <w:rPr>
          <w:sz w:val="28"/>
          <w:szCs w:val="28"/>
        </w:rPr>
        <w:t xml:space="preserve"> к отпуску электрической энергии в сеть;</w:t>
      </w:r>
    </w:p>
    <w:p w:rsidR="00CB3866" w:rsidRDefault="00CB3866" w:rsidP="0007365E">
      <w:pPr>
        <w:pStyle w:val="ListParagraph"/>
        <w:ind w:left="0" w:firstLine="709"/>
        <w:jc w:val="both"/>
        <w:rPr>
          <w:color w:val="FF0000"/>
          <w:sz w:val="28"/>
          <w:szCs w:val="28"/>
        </w:rPr>
      </w:pPr>
      <w:r w:rsidRPr="00EE0C3C">
        <w:rPr>
          <w:sz w:val="28"/>
          <w:szCs w:val="28"/>
        </w:rPr>
        <w:t>- с 01.07.201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– </w:t>
      </w:r>
      <w:r w:rsidRPr="00335AB4">
        <w:rPr>
          <w:sz w:val="28"/>
          <w:szCs w:val="28"/>
        </w:rPr>
        <w:t>0,0</w:t>
      </w:r>
      <w:r>
        <w:rPr>
          <w:sz w:val="28"/>
          <w:szCs w:val="28"/>
        </w:rPr>
        <w:t>0</w:t>
      </w:r>
      <w:r w:rsidRPr="00335AB4">
        <w:rPr>
          <w:sz w:val="28"/>
          <w:szCs w:val="28"/>
        </w:rPr>
        <w:t xml:space="preserve">81 млн. кВтч </w:t>
      </w:r>
      <w:r>
        <w:rPr>
          <w:sz w:val="28"/>
          <w:szCs w:val="28"/>
        </w:rPr>
        <w:t xml:space="preserve">или </w:t>
      </w:r>
      <w:r>
        <w:rPr>
          <w:color w:val="FF0000"/>
          <w:sz w:val="28"/>
          <w:szCs w:val="28"/>
        </w:rPr>
        <w:t>1,3</w:t>
      </w:r>
      <w:r w:rsidRPr="00EE0C3C">
        <w:rPr>
          <w:color w:val="FF0000"/>
          <w:sz w:val="28"/>
          <w:szCs w:val="28"/>
        </w:rPr>
        <w:t xml:space="preserve"> % к</w:t>
      </w:r>
      <w:r w:rsidRPr="00EE0C3C">
        <w:rPr>
          <w:sz w:val="28"/>
          <w:szCs w:val="28"/>
        </w:rPr>
        <w:t xml:space="preserve"> отпуску электрической энергии в сеть</w:t>
      </w:r>
      <w:r w:rsidRPr="00EE0C3C">
        <w:rPr>
          <w:color w:val="FF0000"/>
          <w:sz w:val="28"/>
          <w:szCs w:val="28"/>
        </w:rPr>
        <w:t>.</w:t>
      </w:r>
    </w:p>
    <w:p w:rsidR="00CB3866" w:rsidRPr="002977F3" w:rsidRDefault="00CB3866" w:rsidP="0007365E">
      <w:pPr>
        <w:pStyle w:val="ListParagraph"/>
        <w:ind w:left="0" w:firstLine="709"/>
        <w:jc w:val="both"/>
        <w:rPr>
          <w:sz w:val="28"/>
          <w:szCs w:val="28"/>
        </w:rPr>
      </w:pPr>
      <w:r w:rsidRPr="002977F3">
        <w:rPr>
          <w:sz w:val="28"/>
          <w:szCs w:val="28"/>
        </w:rPr>
        <w:t>Норматив потерь электрической энергии в сети субабонентов составляет 1,29%.</w:t>
      </w:r>
    </w:p>
    <w:p w:rsidR="00CB3866" w:rsidRPr="00EE0C3C" w:rsidRDefault="00CB3866" w:rsidP="0007365E">
      <w:pPr>
        <w:pStyle w:val="ListParagraph"/>
        <w:ind w:left="0" w:firstLine="709"/>
        <w:jc w:val="both"/>
        <w:rPr>
          <w:color w:val="FF0000"/>
          <w:sz w:val="28"/>
          <w:szCs w:val="28"/>
        </w:rPr>
      </w:pPr>
      <w:r w:rsidRPr="002977F3">
        <w:rPr>
          <w:sz w:val="28"/>
          <w:szCs w:val="28"/>
        </w:rPr>
        <w:t xml:space="preserve">Величина заявленной </w:t>
      </w:r>
      <w:r w:rsidRPr="007C3002">
        <w:rPr>
          <w:sz w:val="28"/>
          <w:szCs w:val="28"/>
        </w:rPr>
        <w:t>мощности</w:t>
      </w:r>
      <w:r>
        <w:rPr>
          <w:sz w:val="28"/>
          <w:szCs w:val="28"/>
        </w:rPr>
        <w:t xml:space="preserve"> электрической энергии для субабонентов </w:t>
      </w:r>
      <w:r w:rsidRPr="00221A96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21A96">
        <w:rPr>
          <w:sz w:val="28"/>
          <w:szCs w:val="28"/>
        </w:rPr>
        <w:t>О «</w:t>
      </w:r>
      <w:r>
        <w:rPr>
          <w:sz w:val="28"/>
          <w:szCs w:val="28"/>
        </w:rPr>
        <w:t>АЗХО</w:t>
      </w:r>
      <w:r w:rsidRPr="00221A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2015 год </w:t>
      </w:r>
      <w:r w:rsidRPr="006D2DF6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6D2DF6">
        <w:rPr>
          <w:sz w:val="28"/>
          <w:szCs w:val="28"/>
        </w:rPr>
        <w:t>т</w:t>
      </w:r>
      <w:r>
        <w:rPr>
          <w:sz w:val="28"/>
          <w:szCs w:val="28"/>
        </w:rPr>
        <w:t xml:space="preserve"> 0,2474</w:t>
      </w:r>
      <w:r w:rsidRPr="002977F3">
        <w:t xml:space="preserve"> </w:t>
      </w:r>
      <w:r>
        <w:t>к</w:t>
      </w:r>
      <w:r>
        <w:rPr>
          <w:sz w:val="28"/>
          <w:szCs w:val="28"/>
        </w:rPr>
        <w:t>Вт, в том числе по полугодиям: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- с 01.01.201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по 30.06.201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</w:t>
      </w:r>
      <w:r w:rsidRPr="00EE0C3C">
        <w:rPr>
          <w:b/>
          <w:sz w:val="28"/>
          <w:szCs w:val="28"/>
        </w:rPr>
        <w:t>–</w:t>
      </w:r>
      <w:r w:rsidRPr="00EE0C3C">
        <w:rPr>
          <w:sz w:val="28"/>
          <w:szCs w:val="28"/>
        </w:rPr>
        <w:t xml:space="preserve"> </w:t>
      </w:r>
      <w:r w:rsidRPr="00EE0C3C">
        <w:rPr>
          <w:color w:val="FF0000"/>
          <w:sz w:val="28"/>
          <w:szCs w:val="28"/>
        </w:rPr>
        <w:t xml:space="preserve">0,2474 </w:t>
      </w:r>
      <w:r>
        <w:rPr>
          <w:color w:val="FF0000"/>
          <w:sz w:val="28"/>
          <w:szCs w:val="28"/>
        </w:rPr>
        <w:t>к</w:t>
      </w:r>
      <w:r w:rsidRPr="00EE0C3C">
        <w:rPr>
          <w:color w:val="FF0000"/>
          <w:sz w:val="28"/>
          <w:szCs w:val="28"/>
        </w:rPr>
        <w:t>Вт;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E0C3C">
        <w:rPr>
          <w:bCs/>
          <w:sz w:val="28"/>
          <w:szCs w:val="28"/>
        </w:rPr>
        <w:t>с 01.07.201</w:t>
      </w:r>
      <w:r>
        <w:rPr>
          <w:bCs/>
          <w:sz w:val="28"/>
          <w:szCs w:val="28"/>
        </w:rPr>
        <w:t>5</w:t>
      </w:r>
      <w:r w:rsidRPr="00EE0C3C">
        <w:rPr>
          <w:bCs/>
          <w:sz w:val="28"/>
          <w:szCs w:val="28"/>
        </w:rPr>
        <w:t xml:space="preserve"> по 31.12.201</w:t>
      </w:r>
      <w:r>
        <w:rPr>
          <w:bCs/>
          <w:sz w:val="28"/>
          <w:szCs w:val="28"/>
        </w:rPr>
        <w:t>5</w:t>
      </w:r>
      <w:r w:rsidRPr="00EE0C3C">
        <w:rPr>
          <w:bCs/>
          <w:sz w:val="28"/>
          <w:szCs w:val="28"/>
        </w:rPr>
        <w:t xml:space="preserve"> </w:t>
      </w:r>
      <w:r w:rsidRPr="00EE0C3C">
        <w:rPr>
          <w:b/>
          <w:sz w:val="28"/>
          <w:szCs w:val="28"/>
        </w:rPr>
        <w:t xml:space="preserve">– </w:t>
      </w:r>
      <w:r w:rsidRPr="00EE0C3C">
        <w:rPr>
          <w:color w:val="FF0000"/>
          <w:sz w:val="28"/>
          <w:szCs w:val="28"/>
        </w:rPr>
        <w:t>0,2474</w:t>
      </w:r>
      <w:r w:rsidRPr="00EE0C3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E0C3C">
        <w:rPr>
          <w:sz w:val="28"/>
          <w:szCs w:val="28"/>
        </w:rPr>
        <w:t>Вт.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Величина полезного отпуска электрической энергии </w:t>
      </w:r>
      <w:r>
        <w:rPr>
          <w:sz w:val="28"/>
          <w:szCs w:val="28"/>
        </w:rPr>
        <w:t xml:space="preserve">в сети субабонентов </w:t>
      </w:r>
      <w:r w:rsidRPr="00EE0C3C">
        <w:rPr>
          <w:color w:val="000000"/>
          <w:sz w:val="28"/>
          <w:szCs w:val="28"/>
        </w:rPr>
        <w:t>в целом по 201</w:t>
      </w:r>
      <w:r>
        <w:rPr>
          <w:color w:val="000000"/>
          <w:sz w:val="28"/>
          <w:szCs w:val="28"/>
        </w:rPr>
        <w:t>5</w:t>
      </w:r>
      <w:r w:rsidRPr="00EE0C3C">
        <w:rPr>
          <w:color w:val="000000"/>
          <w:sz w:val="28"/>
          <w:szCs w:val="28"/>
        </w:rPr>
        <w:t xml:space="preserve"> году</w:t>
      </w:r>
      <w:r w:rsidRPr="00EE0C3C">
        <w:rPr>
          <w:b/>
          <w:color w:val="000000"/>
          <w:sz w:val="28"/>
          <w:szCs w:val="28"/>
        </w:rPr>
        <w:t xml:space="preserve"> </w:t>
      </w:r>
      <w:r w:rsidRPr="00EE0C3C">
        <w:rPr>
          <w:sz w:val="28"/>
          <w:szCs w:val="28"/>
        </w:rPr>
        <w:t xml:space="preserve">составит </w:t>
      </w:r>
      <w:r>
        <w:rPr>
          <w:color w:val="FF0000"/>
          <w:sz w:val="28"/>
          <w:szCs w:val="28"/>
        </w:rPr>
        <w:t>1,244</w:t>
      </w:r>
      <w:r w:rsidRPr="00EE0C3C">
        <w:rPr>
          <w:sz w:val="28"/>
          <w:szCs w:val="28"/>
        </w:rPr>
        <w:t xml:space="preserve"> млн. кВтч, в том числе: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- с 01.01.201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по 30.06.201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</w:t>
      </w:r>
      <w:r w:rsidRPr="00EE0C3C">
        <w:rPr>
          <w:b/>
          <w:sz w:val="28"/>
          <w:szCs w:val="28"/>
        </w:rPr>
        <w:t>–</w:t>
      </w:r>
      <w:r w:rsidRPr="00EE0C3C">
        <w:rPr>
          <w:sz w:val="28"/>
          <w:szCs w:val="28"/>
        </w:rPr>
        <w:t xml:space="preserve"> </w:t>
      </w:r>
      <w:r w:rsidRPr="00EE0C3C">
        <w:rPr>
          <w:color w:val="FF0000"/>
          <w:sz w:val="28"/>
          <w:szCs w:val="28"/>
        </w:rPr>
        <w:t>0,6</w:t>
      </w:r>
      <w:r>
        <w:rPr>
          <w:color w:val="FF0000"/>
          <w:sz w:val="28"/>
          <w:szCs w:val="28"/>
        </w:rPr>
        <w:t>22</w:t>
      </w:r>
      <w:r w:rsidRPr="00EE0C3C">
        <w:rPr>
          <w:sz w:val="28"/>
          <w:szCs w:val="28"/>
        </w:rPr>
        <w:t xml:space="preserve"> млн. кВтч;</w:t>
      </w:r>
    </w:p>
    <w:p w:rsidR="00CB3866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E0C3C">
        <w:rPr>
          <w:bCs/>
          <w:sz w:val="28"/>
          <w:szCs w:val="28"/>
        </w:rPr>
        <w:t>с 01.07.201</w:t>
      </w:r>
      <w:r>
        <w:rPr>
          <w:bCs/>
          <w:sz w:val="28"/>
          <w:szCs w:val="28"/>
        </w:rPr>
        <w:t>5</w:t>
      </w:r>
      <w:r w:rsidRPr="00EE0C3C">
        <w:rPr>
          <w:bCs/>
          <w:sz w:val="28"/>
          <w:szCs w:val="28"/>
        </w:rPr>
        <w:t xml:space="preserve"> по 31.12.201</w:t>
      </w:r>
      <w:r>
        <w:rPr>
          <w:bCs/>
          <w:sz w:val="28"/>
          <w:szCs w:val="28"/>
        </w:rPr>
        <w:t>5</w:t>
      </w:r>
      <w:r w:rsidRPr="00EE0C3C">
        <w:rPr>
          <w:bCs/>
          <w:sz w:val="28"/>
          <w:szCs w:val="28"/>
        </w:rPr>
        <w:t xml:space="preserve"> </w:t>
      </w:r>
      <w:r w:rsidRPr="00EE0C3C">
        <w:rPr>
          <w:b/>
          <w:sz w:val="28"/>
          <w:szCs w:val="28"/>
        </w:rPr>
        <w:t xml:space="preserve">– </w:t>
      </w:r>
      <w:r w:rsidRPr="00EE0C3C">
        <w:rPr>
          <w:color w:val="FF0000"/>
          <w:sz w:val="28"/>
          <w:szCs w:val="28"/>
        </w:rPr>
        <w:t>0,6</w:t>
      </w:r>
      <w:r>
        <w:rPr>
          <w:color w:val="FF0000"/>
          <w:sz w:val="28"/>
          <w:szCs w:val="28"/>
        </w:rPr>
        <w:t>22</w:t>
      </w:r>
      <w:r w:rsidRPr="00EE0C3C">
        <w:rPr>
          <w:sz w:val="28"/>
          <w:szCs w:val="28"/>
        </w:rPr>
        <w:t xml:space="preserve"> млн. кВтч.</w:t>
      </w:r>
    </w:p>
    <w:p w:rsidR="00CB3866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Количество условных единиц в 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89,21</w:t>
      </w:r>
      <w:r w:rsidRPr="00EE0C3C">
        <w:rPr>
          <w:sz w:val="28"/>
          <w:szCs w:val="28"/>
        </w:rPr>
        <w:t xml:space="preserve"> у е </w:t>
      </w:r>
      <w:r>
        <w:rPr>
          <w:sz w:val="28"/>
          <w:szCs w:val="28"/>
        </w:rPr>
        <w:t>( 2014 год – 32,81 у е),</w:t>
      </w:r>
      <w:r w:rsidRPr="00EE0C3C">
        <w:rPr>
          <w:sz w:val="28"/>
          <w:szCs w:val="28"/>
        </w:rPr>
        <w:t xml:space="preserve"> в том числе: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ВН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 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</w:t>
      </w:r>
      <w:r w:rsidRPr="00EE0C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II</w:t>
      </w:r>
      <w:r w:rsidRPr="00EE0C3C">
        <w:rPr>
          <w:sz w:val="28"/>
          <w:szCs w:val="28"/>
        </w:rPr>
        <w:t xml:space="preserve"> - </w:t>
      </w:r>
      <w:r>
        <w:rPr>
          <w:sz w:val="28"/>
          <w:szCs w:val="28"/>
        </w:rPr>
        <w:t>88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НН - 1,2 у е.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Из них: </w:t>
      </w:r>
    </w:p>
    <w:p w:rsidR="00CB3866" w:rsidRDefault="00CB3866" w:rsidP="0007365E">
      <w:pPr>
        <w:pStyle w:val="Heading1"/>
        <w:numPr>
          <w:ilvl w:val="0"/>
          <w:numId w:val="39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E0C3C">
        <w:rPr>
          <w:rFonts w:ascii="Times New Roman" w:hAnsi="Times New Roman"/>
          <w:b w:val="0"/>
          <w:color w:val="auto"/>
          <w:sz w:val="28"/>
          <w:szCs w:val="28"/>
        </w:rPr>
        <w:t>Объем воздушных линий электропередач (ВЛЭП) и кабельных линий электропередач (КЛЭП) в условных единицах в зависимости от протяженности, напряжения, конструктивного использования и материала опор всего 8,2 у е, в т.ч.: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ВН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</w:t>
      </w:r>
      <w:r w:rsidRPr="00EE0C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II</w:t>
      </w:r>
      <w:r w:rsidRPr="00EE0C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НН - 1,2 у е.</w:t>
      </w:r>
    </w:p>
    <w:p w:rsidR="00CB3866" w:rsidRPr="00EE0C3C" w:rsidRDefault="00CB3866" w:rsidP="0007365E">
      <w:pPr>
        <w:pStyle w:val="Heading1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E0C3C">
        <w:rPr>
          <w:rFonts w:ascii="Times New Roman" w:hAnsi="Times New Roman"/>
          <w:b w:val="0"/>
          <w:color w:val="auto"/>
          <w:sz w:val="28"/>
          <w:szCs w:val="28"/>
        </w:rPr>
        <w:t xml:space="preserve">Объем подстанций 35-1150 кВ, трансформаторных подстанций (ТП), комплексных трансформаторных подстанций (КТП) и распределительных пунктов (РП) 0,4-20 кВ в условных единицах всего </w:t>
      </w:r>
      <w:r>
        <w:rPr>
          <w:rFonts w:ascii="Times New Roman" w:hAnsi="Times New Roman"/>
          <w:b w:val="0"/>
          <w:color w:val="auto"/>
          <w:sz w:val="28"/>
          <w:szCs w:val="28"/>
        </w:rPr>
        <w:t>81,0</w:t>
      </w:r>
      <w:r w:rsidRPr="00EE0C3C">
        <w:rPr>
          <w:rFonts w:ascii="Times New Roman" w:hAnsi="Times New Roman"/>
          <w:b w:val="0"/>
          <w:color w:val="auto"/>
          <w:sz w:val="28"/>
          <w:szCs w:val="28"/>
        </w:rPr>
        <w:t xml:space="preserve"> у е, в т.ч.: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ВН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 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</w:t>
      </w:r>
      <w:r w:rsidRPr="00EE0C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СН-</w:t>
      </w:r>
      <w:r w:rsidRPr="00EE0C3C">
        <w:rPr>
          <w:sz w:val="28"/>
          <w:szCs w:val="28"/>
          <w:lang w:val="en-US"/>
        </w:rPr>
        <w:t>II</w:t>
      </w:r>
      <w:r w:rsidRPr="00EE0C3C">
        <w:rPr>
          <w:sz w:val="28"/>
          <w:szCs w:val="28"/>
        </w:rPr>
        <w:t xml:space="preserve"> - </w:t>
      </w:r>
      <w:r>
        <w:rPr>
          <w:sz w:val="28"/>
          <w:szCs w:val="28"/>
        </w:rPr>
        <w:t>81</w:t>
      </w:r>
      <w:r w:rsidRPr="00EE0C3C">
        <w:rPr>
          <w:sz w:val="28"/>
          <w:szCs w:val="28"/>
        </w:rPr>
        <w:t xml:space="preserve"> у е;</w:t>
      </w:r>
    </w:p>
    <w:p w:rsidR="00CB3866" w:rsidRPr="00EE0C3C" w:rsidRDefault="00CB3866" w:rsidP="0007365E">
      <w:pPr>
        <w:rPr>
          <w:sz w:val="28"/>
          <w:szCs w:val="28"/>
        </w:rPr>
      </w:pPr>
      <w:r w:rsidRPr="00EE0C3C">
        <w:rPr>
          <w:sz w:val="28"/>
          <w:szCs w:val="28"/>
        </w:rPr>
        <w:t>на уровне НН -</w:t>
      </w:r>
      <w:r>
        <w:rPr>
          <w:sz w:val="28"/>
          <w:szCs w:val="28"/>
        </w:rPr>
        <w:t xml:space="preserve"> 0</w:t>
      </w:r>
      <w:r w:rsidRPr="00EE0C3C">
        <w:rPr>
          <w:sz w:val="28"/>
          <w:szCs w:val="28"/>
        </w:rPr>
        <w:t xml:space="preserve"> у е.</w:t>
      </w:r>
    </w:p>
    <w:p w:rsidR="00CB3866" w:rsidRPr="00EE0C3C" w:rsidRDefault="00CB3866" w:rsidP="0007365E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>Расчетные показатели представлены в приложениях</w:t>
      </w:r>
      <w:r>
        <w:rPr>
          <w:sz w:val="28"/>
          <w:szCs w:val="28"/>
        </w:rPr>
        <w:t xml:space="preserve"> № 1, № 2, № 5.</w:t>
      </w:r>
    </w:p>
    <w:p w:rsidR="00CB3866" w:rsidRPr="00D06078" w:rsidRDefault="00CB3866" w:rsidP="0007365E">
      <w:pPr>
        <w:pStyle w:val="ListParagraph"/>
        <w:ind w:left="0" w:firstLine="720"/>
        <w:jc w:val="both"/>
        <w:rPr>
          <w:sz w:val="28"/>
          <w:szCs w:val="28"/>
        </w:rPr>
      </w:pPr>
    </w:p>
    <w:p w:rsidR="00CB3866" w:rsidRDefault="00CB3866" w:rsidP="00D9570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E0C3C">
        <w:rPr>
          <w:b/>
          <w:sz w:val="28"/>
          <w:szCs w:val="28"/>
        </w:rPr>
        <w:t>Анализ экономической обоснованности расходов по статьям расходов</w:t>
      </w:r>
    </w:p>
    <w:p w:rsidR="00CB3866" w:rsidRPr="00352846" w:rsidRDefault="00CB3866" w:rsidP="00352846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Подконтрольные расходы на 2015 год</w:t>
      </w:r>
    </w:p>
    <w:p w:rsidR="00CB3866" w:rsidRDefault="00CB3866" w:rsidP="00817CA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71A">
        <w:rPr>
          <w:sz w:val="28"/>
          <w:szCs w:val="28"/>
        </w:rPr>
        <w:t>По данным</w:t>
      </w:r>
      <w:r>
        <w:rPr>
          <w:sz w:val="28"/>
          <w:szCs w:val="28"/>
        </w:rPr>
        <w:t>,</w:t>
      </w:r>
      <w:r w:rsidRPr="004D071A">
        <w:rPr>
          <w:sz w:val="28"/>
          <w:szCs w:val="28"/>
        </w:rPr>
        <w:t xml:space="preserve"> представленным организацией </w:t>
      </w:r>
      <w:r w:rsidRPr="000472AE">
        <w:rPr>
          <w:b/>
          <w:sz w:val="28"/>
          <w:szCs w:val="28"/>
        </w:rPr>
        <w:t>подконтрольные расходы</w:t>
      </w:r>
      <w:r w:rsidRPr="004D071A">
        <w:rPr>
          <w:sz w:val="28"/>
          <w:szCs w:val="28"/>
        </w:rPr>
        <w:t xml:space="preserve"> определены в сумме </w:t>
      </w:r>
      <w:r w:rsidRPr="000472AE">
        <w:rPr>
          <w:b/>
          <w:sz w:val="28"/>
          <w:szCs w:val="28"/>
        </w:rPr>
        <w:t>1229,665 тыс. руб</w:t>
      </w:r>
      <w:r w:rsidRPr="004D071A">
        <w:rPr>
          <w:sz w:val="28"/>
          <w:szCs w:val="28"/>
        </w:rPr>
        <w:t>.</w:t>
      </w:r>
    </w:p>
    <w:p w:rsidR="00CB3866" w:rsidRDefault="00CB3866" w:rsidP="00817CA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71E">
        <w:rPr>
          <w:sz w:val="28"/>
          <w:szCs w:val="28"/>
        </w:rPr>
        <w:t>Во исполнение  п. 5 постановления Правительства Российской Федерации от 31.07.2014 № 750 был пересмотрен базовый ур</w:t>
      </w:r>
      <w:r>
        <w:rPr>
          <w:sz w:val="28"/>
          <w:szCs w:val="28"/>
        </w:rPr>
        <w:t>овень  подконтрольных расходов.</w:t>
      </w:r>
    </w:p>
    <w:p w:rsidR="00CB3866" w:rsidRDefault="00CB3866" w:rsidP="00817CA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71E">
        <w:rPr>
          <w:sz w:val="28"/>
          <w:szCs w:val="28"/>
        </w:rPr>
        <w:tab/>
        <w:t xml:space="preserve">Пересмотр базового уровня подконтрольных расходов ОАО «АЗХО», выполнен с учетом требований </w:t>
      </w:r>
      <w:r>
        <w:rPr>
          <w:sz w:val="28"/>
          <w:szCs w:val="28"/>
        </w:rPr>
        <w:t xml:space="preserve">п. 38 </w:t>
      </w:r>
      <w:r w:rsidRPr="00A3771E">
        <w:rPr>
          <w:sz w:val="28"/>
          <w:szCs w:val="28"/>
        </w:rPr>
        <w:t>Основ ценообразования</w:t>
      </w:r>
      <w:r>
        <w:rPr>
          <w:sz w:val="28"/>
          <w:szCs w:val="28"/>
        </w:rPr>
        <w:t xml:space="preserve"> </w:t>
      </w:r>
      <w:r w:rsidRPr="00A3771E">
        <w:rPr>
          <w:sz w:val="28"/>
          <w:szCs w:val="28"/>
        </w:rPr>
        <w:t>и информационного письма ФСТ России от 21.11.2014 № СП-12858/12</w:t>
      </w:r>
      <w:r>
        <w:rPr>
          <w:sz w:val="28"/>
          <w:szCs w:val="28"/>
        </w:rPr>
        <w:t>.</w:t>
      </w:r>
    </w:p>
    <w:p w:rsidR="00CB3866" w:rsidRPr="00A3771E" w:rsidRDefault="00CB3866" w:rsidP="00817CA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71E">
        <w:rPr>
          <w:sz w:val="28"/>
          <w:szCs w:val="28"/>
        </w:rPr>
        <w:t xml:space="preserve">На основании результатов пересмотра распоряжением </w:t>
      </w:r>
      <w:r>
        <w:rPr>
          <w:sz w:val="28"/>
          <w:szCs w:val="28"/>
        </w:rPr>
        <w:t xml:space="preserve">службы по тарифам Астраханской области </w:t>
      </w:r>
      <w:r w:rsidRPr="00A3771E">
        <w:rPr>
          <w:sz w:val="28"/>
          <w:szCs w:val="28"/>
        </w:rPr>
        <w:t xml:space="preserve">от 28.12 2014 </w:t>
      </w:r>
      <w:r w:rsidRPr="00817CAD">
        <w:rPr>
          <w:sz w:val="28"/>
          <w:szCs w:val="28"/>
        </w:rPr>
        <w:t xml:space="preserve">№ 160 «Об установлении базового уровня операционных (подконтрольных) расходов ОАО «АЗХО» (ОГРН 1023000854293), осуществляющего регулируемую деятельность в сфере оказания услуг по передаче электрической энергии» </w:t>
      </w:r>
      <w:r w:rsidRPr="00A3771E">
        <w:rPr>
          <w:sz w:val="28"/>
          <w:szCs w:val="28"/>
        </w:rPr>
        <w:t xml:space="preserve">был установлен показатель одного из  долгосрочных параметров регулирования - базовый уровень подконтрольных расходов на первый год долгосрочного регулирования </w:t>
      </w:r>
      <w:r>
        <w:rPr>
          <w:sz w:val="28"/>
          <w:szCs w:val="28"/>
        </w:rPr>
        <w:t>был определен в сумме 349,03 тыс. рублей (увеличение на 35,7%).</w:t>
      </w:r>
    </w:p>
    <w:p w:rsidR="00CB3866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а также изменения коэффициента индексации экспертной группой </w:t>
      </w:r>
      <w:r w:rsidRPr="004B6242">
        <w:rPr>
          <w:b/>
          <w:sz w:val="28"/>
          <w:szCs w:val="28"/>
        </w:rPr>
        <w:t>подконтрольные расходы</w:t>
      </w:r>
      <w:r>
        <w:rPr>
          <w:sz w:val="28"/>
          <w:szCs w:val="28"/>
        </w:rPr>
        <w:t xml:space="preserve"> на 2015 год определены в объеме </w:t>
      </w:r>
      <w:r w:rsidRPr="004B6242">
        <w:rPr>
          <w:b/>
          <w:sz w:val="28"/>
          <w:szCs w:val="28"/>
        </w:rPr>
        <w:t>1076,</w:t>
      </w:r>
      <w:r>
        <w:rPr>
          <w:b/>
          <w:sz w:val="28"/>
          <w:szCs w:val="28"/>
        </w:rPr>
        <w:t>0</w:t>
      </w:r>
      <w:r w:rsidRPr="004B6242">
        <w:rPr>
          <w:b/>
          <w:sz w:val="28"/>
          <w:szCs w:val="28"/>
        </w:rPr>
        <w:t>6 тыс. рублей</w:t>
      </w:r>
      <w:r>
        <w:rPr>
          <w:sz w:val="28"/>
          <w:szCs w:val="28"/>
        </w:rPr>
        <w:t xml:space="preserve">, в том числе </w:t>
      </w:r>
    </w:p>
    <w:p w:rsidR="00CB3866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материалы – 270,97 тыс. руб.;</w:t>
      </w:r>
    </w:p>
    <w:p w:rsidR="00CB3866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труда – 805,09 тыс. руб.</w:t>
      </w:r>
    </w:p>
    <w:p w:rsidR="00CB3866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подконтрольных расходов к 2014 году (</w:t>
      </w:r>
      <w:r w:rsidRPr="00352846">
        <w:rPr>
          <w:sz w:val="28"/>
          <w:szCs w:val="28"/>
        </w:rPr>
        <w:t>с учетом корректировки</w:t>
      </w:r>
      <w:r>
        <w:rPr>
          <w:sz w:val="28"/>
          <w:szCs w:val="28"/>
        </w:rPr>
        <w:t>)</w:t>
      </w:r>
      <w:r w:rsidRPr="003528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установленному службой по тарифам Астраханской области составили 367%, в том числе по вспомогательным материалам увеличение 5048%, по фонду заработной платы в 282 6%.</w:t>
      </w:r>
    </w:p>
    <w:p w:rsidR="00CB3866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сведены в приложении № 7 к экспертному).</w:t>
      </w:r>
    </w:p>
    <w:p w:rsidR="00CB3866" w:rsidRPr="00EE0C3C" w:rsidRDefault="00CB3866" w:rsidP="009265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F33C2D">
        <w:rPr>
          <w:b/>
          <w:sz w:val="28"/>
          <w:szCs w:val="28"/>
        </w:rPr>
        <w:t xml:space="preserve">Корректировка неподконтрольных расходов 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неподконтрольных расходов определен п. 11 Методических указаний № 98-э.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организации неподконтрольные расходы заявлены организацией в размере 2675,51 тыс. руб.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обосновывающих материалов, представленных организаций  (в том числе форм статистической и бухгалтерской отчетности), скорректированные </w:t>
      </w:r>
      <w:r w:rsidRPr="004B6242">
        <w:rPr>
          <w:b/>
          <w:sz w:val="28"/>
          <w:szCs w:val="28"/>
        </w:rPr>
        <w:t>неподконтрольные расходы</w:t>
      </w:r>
      <w:r>
        <w:rPr>
          <w:sz w:val="28"/>
          <w:szCs w:val="28"/>
        </w:rPr>
        <w:t xml:space="preserve"> ОАО «АЗХО» на 2015 год составят </w:t>
      </w:r>
      <w:r w:rsidRPr="004B6242">
        <w:rPr>
          <w:b/>
          <w:sz w:val="28"/>
          <w:szCs w:val="28"/>
        </w:rPr>
        <w:t>504,46 тыс. рублей</w:t>
      </w:r>
      <w:r>
        <w:rPr>
          <w:sz w:val="28"/>
          <w:szCs w:val="28"/>
        </w:rPr>
        <w:t>, в том числе: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«Амортизация» 207,16 тыс. рублей (в соответствии с требованиями п 27 Основ ценообразования);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«Налоги» в соответствии с требованиями п.20 и 28</w:t>
      </w:r>
      <w:r w:rsidRPr="00F33C2D">
        <w:t xml:space="preserve"> </w:t>
      </w:r>
      <w:r w:rsidRPr="00F33C2D">
        <w:rPr>
          <w:sz w:val="28"/>
          <w:szCs w:val="28"/>
        </w:rPr>
        <w:t>Основ ценообразования</w:t>
      </w:r>
      <w:r>
        <w:rPr>
          <w:sz w:val="28"/>
          <w:szCs w:val="28"/>
        </w:rPr>
        <w:t xml:space="preserve"> составят 52,55 тыс. рублей, в том числе </w:t>
      </w:r>
      <w:r w:rsidRPr="00242A23">
        <w:rPr>
          <w:sz w:val="28"/>
          <w:szCs w:val="28"/>
        </w:rPr>
        <w:t xml:space="preserve">«плата за землю» </w:t>
      </w:r>
      <w:r>
        <w:rPr>
          <w:sz w:val="28"/>
          <w:szCs w:val="28"/>
        </w:rPr>
        <w:t>43,81 тыс. руб.;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налог, уплачиваемый </w:t>
      </w:r>
      <w:r w:rsidRPr="00F33C2D">
        <w:rPr>
          <w:sz w:val="28"/>
          <w:szCs w:val="28"/>
        </w:rPr>
        <w:t>в связи с применением упрощенной системы налогообложения</w:t>
      </w:r>
      <w:r>
        <w:rPr>
          <w:sz w:val="28"/>
          <w:szCs w:val="28"/>
        </w:rPr>
        <w:t xml:space="preserve"> – 2,45 тыс. руб.;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НДС с покупки потерь – 6,29 тыс. руб.;</w:t>
      </w:r>
    </w:p>
    <w:p w:rsidR="00CB3866" w:rsidRPr="00242A23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A23">
        <w:rPr>
          <w:sz w:val="28"/>
          <w:szCs w:val="28"/>
        </w:rPr>
        <w:t xml:space="preserve">по статье отчисления на социальные нужды (ЕСН) с учетом изменений расходов на оплату труда – 244,75 тыс. руб. </w:t>
      </w:r>
    </w:p>
    <w:p w:rsidR="00CB3866" w:rsidRDefault="00CB3866" w:rsidP="00F33C2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неподконтрольных расходов, учтенная в тарифе  на 2014 год с учетом корректировки, составила 107,11 тыс. рублей.</w:t>
      </w:r>
    </w:p>
    <w:p w:rsidR="00CB3866" w:rsidRDefault="00CB3866" w:rsidP="00DD7A0F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рост скоректированныхнеподконтрольных расходов 2015 года по отношению к аналогичным расходам 2014 года составляет 470,96% (расчет отражен в приложении № 3).</w:t>
      </w:r>
    </w:p>
    <w:p w:rsidR="00CB3866" w:rsidRDefault="00CB3866" w:rsidP="00DD7A0F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3866" w:rsidRDefault="00CB3866" w:rsidP="00B24F18">
      <w:pPr>
        <w:pStyle w:val="ListParagraph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8F49FF">
        <w:rPr>
          <w:sz w:val="28"/>
          <w:szCs w:val="28"/>
        </w:rPr>
        <w:t xml:space="preserve"> </w:t>
      </w:r>
      <w:r w:rsidRPr="00602783">
        <w:rPr>
          <w:b/>
          <w:sz w:val="28"/>
          <w:szCs w:val="28"/>
        </w:rPr>
        <w:tab/>
        <w:t>Расчет необходимой валовой выручки на оплату технологического расхода (потерь) электрической энергии</w:t>
      </w:r>
    </w:p>
    <w:p w:rsidR="00CB3866" w:rsidRDefault="00CB3866" w:rsidP="00B24F18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2783">
        <w:rPr>
          <w:sz w:val="28"/>
          <w:szCs w:val="28"/>
        </w:rPr>
        <w:t>Необходимая валовая выручка в части оплаты технологического расхода (потерь) электрической энергии определяется в соответствии с п.13 Методических указаний № 98-э.</w:t>
      </w:r>
    </w:p>
    <w:p w:rsidR="00CB3866" w:rsidRPr="00602783" w:rsidRDefault="00CB3866" w:rsidP="00B24F18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2783">
        <w:rPr>
          <w:sz w:val="28"/>
          <w:szCs w:val="28"/>
        </w:rPr>
        <w:t>При этом тариф покупки потерь на долгосрочный период регулирования 2015</w:t>
      </w:r>
      <w:r>
        <w:rPr>
          <w:sz w:val="28"/>
          <w:szCs w:val="28"/>
        </w:rPr>
        <w:t xml:space="preserve"> года</w:t>
      </w:r>
      <w:r w:rsidRPr="00602783">
        <w:rPr>
          <w:sz w:val="28"/>
          <w:szCs w:val="28"/>
        </w:rPr>
        <w:t xml:space="preserve"> экспертной группой определен в соответствии с п38 и п.81 Основ ценообразования, п. 50 Методических указаний № 20-э/2.</w:t>
      </w:r>
    </w:p>
    <w:p w:rsidR="00CB3866" w:rsidRPr="00D07284" w:rsidRDefault="00CB3866" w:rsidP="00B24F18">
      <w:pPr>
        <w:ind w:firstLine="709"/>
        <w:jc w:val="both"/>
        <w:rPr>
          <w:sz w:val="28"/>
          <w:szCs w:val="28"/>
        </w:rPr>
      </w:pPr>
      <w:r w:rsidRPr="00D07284">
        <w:rPr>
          <w:sz w:val="28"/>
          <w:szCs w:val="28"/>
        </w:rPr>
        <w:t>При определении тарифа покупки потерь использованы:</w:t>
      </w:r>
    </w:p>
    <w:p w:rsidR="00CB3866" w:rsidRPr="008F49FF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данные приказа ФСТ России от 30.12.2013 № 256-э/1 (услуги по оперативно-диспетчерскому управлению в электроэнергетике</w:t>
      </w:r>
      <w:r>
        <w:rPr>
          <w:sz w:val="28"/>
          <w:szCs w:val="28"/>
        </w:rPr>
        <w:t>)</w:t>
      </w:r>
      <w:r w:rsidRPr="008F49FF">
        <w:rPr>
          <w:sz w:val="28"/>
          <w:szCs w:val="28"/>
        </w:rPr>
        <w:t>;</w:t>
      </w:r>
    </w:p>
    <w:p w:rsidR="00CB3866" w:rsidRPr="008F49FF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данные приказа ФСТ России от 30.12.2013 № 232-э/1 (услуги комм</w:t>
      </w:r>
      <w:r>
        <w:rPr>
          <w:sz w:val="28"/>
          <w:szCs w:val="28"/>
        </w:rPr>
        <w:t>ерческого оператора ОАО «АТС»)</w:t>
      </w:r>
      <w:r w:rsidRPr="008F49FF">
        <w:rPr>
          <w:sz w:val="28"/>
          <w:szCs w:val="28"/>
        </w:rPr>
        <w:t>;</w:t>
      </w:r>
    </w:p>
    <w:p w:rsidR="00CB3866" w:rsidRPr="008F49FF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прогнозные значения стоимости энергии (мощности) электроэнергии на 2015 год по показателям, размещенным на сайте НП «Совет рынка» по состоянию на 28.11.2014;</w:t>
      </w:r>
    </w:p>
    <w:p w:rsidR="00CB3866" w:rsidRPr="008F49FF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значения показателей потерь электроэнергии (мощности) на 2015 год, определенные на основании приказа ФСТ России от 27.06.2014 № 170-э/1, с учетом изменений, внесенных приказом ФСТ России от 27.11.2014   № 276-э/1;</w:t>
      </w:r>
    </w:p>
    <w:p w:rsidR="00CB3866" w:rsidRPr="008F49FF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данные постановления службы по тарифам Астраханской области от 19.12.2013 № 248 «О сбытовых надбавках гарантирующего поставщика электрической энергии ОАО «Астраханская энергосбытовая компания» в границах зоны его деятельности»;</w:t>
      </w:r>
    </w:p>
    <w:p w:rsidR="00CB3866" w:rsidRDefault="00CB3866" w:rsidP="008F49FF">
      <w:pPr>
        <w:ind w:firstLine="709"/>
        <w:jc w:val="both"/>
        <w:rPr>
          <w:sz w:val="28"/>
          <w:szCs w:val="28"/>
        </w:rPr>
      </w:pPr>
      <w:r w:rsidRPr="008F49FF">
        <w:rPr>
          <w:sz w:val="28"/>
          <w:szCs w:val="28"/>
        </w:rPr>
        <w:t>- показатели Прогноза.</w:t>
      </w:r>
    </w:p>
    <w:p w:rsidR="00CB3866" w:rsidRPr="00D07284" w:rsidRDefault="00CB3866" w:rsidP="008F49FF">
      <w:pPr>
        <w:ind w:firstLine="709"/>
        <w:jc w:val="both"/>
        <w:rPr>
          <w:sz w:val="28"/>
          <w:szCs w:val="28"/>
        </w:rPr>
      </w:pPr>
      <w:r w:rsidRPr="00D07284">
        <w:rPr>
          <w:sz w:val="28"/>
          <w:szCs w:val="28"/>
        </w:rPr>
        <w:t>Учитывая изложенное, скорректированный тариф покупки потерь на электрическую энергию в 201</w:t>
      </w:r>
      <w:r>
        <w:rPr>
          <w:sz w:val="28"/>
          <w:szCs w:val="28"/>
        </w:rPr>
        <w:t>5</w:t>
      </w:r>
      <w:r w:rsidRPr="00D07284">
        <w:rPr>
          <w:sz w:val="28"/>
          <w:szCs w:val="28"/>
        </w:rPr>
        <w:t xml:space="preserve"> году составит:</w:t>
      </w:r>
    </w:p>
    <w:p w:rsidR="00CB3866" w:rsidRDefault="00CB3866" w:rsidP="000E0E7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01.01.2015 по 30.06.2015 -</w:t>
      </w:r>
      <w:r w:rsidRPr="00363C60">
        <w:rPr>
          <w:b/>
          <w:sz w:val="28"/>
          <w:szCs w:val="28"/>
        </w:rPr>
        <w:t>2145,51 руб./кВтч</w:t>
      </w:r>
      <w:r>
        <w:rPr>
          <w:b/>
          <w:sz w:val="28"/>
          <w:szCs w:val="28"/>
        </w:rPr>
        <w:t xml:space="preserve"> (без НДС)</w:t>
      </w:r>
      <w:r w:rsidRPr="00363C60">
        <w:rPr>
          <w:b/>
          <w:sz w:val="28"/>
          <w:szCs w:val="28"/>
        </w:rPr>
        <w:t>;</w:t>
      </w:r>
    </w:p>
    <w:p w:rsidR="00CB3866" w:rsidRDefault="00CB3866" w:rsidP="000E0E7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с 01.07.2015 по 31.12.2015 – </w:t>
      </w:r>
      <w:r w:rsidRPr="00363C60">
        <w:rPr>
          <w:b/>
          <w:sz w:val="28"/>
          <w:szCs w:val="28"/>
        </w:rPr>
        <w:t>2169,9 руб./</w:t>
      </w:r>
      <w:r w:rsidRPr="00363C60">
        <w:rPr>
          <w:b/>
        </w:rPr>
        <w:t xml:space="preserve"> к</w:t>
      </w:r>
      <w:r w:rsidRPr="00363C60">
        <w:rPr>
          <w:b/>
          <w:sz w:val="28"/>
          <w:szCs w:val="28"/>
        </w:rPr>
        <w:t>Втч</w:t>
      </w:r>
      <w:r>
        <w:rPr>
          <w:b/>
          <w:sz w:val="28"/>
          <w:szCs w:val="28"/>
        </w:rPr>
        <w:t xml:space="preserve"> (</w:t>
      </w:r>
      <w:r w:rsidRPr="00117A43">
        <w:rPr>
          <w:b/>
          <w:sz w:val="28"/>
          <w:szCs w:val="28"/>
        </w:rPr>
        <w:t>без НДС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3866" w:rsidRPr="00E1637B" w:rsidRDefault="00CB3866" w:rsidP="00E16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необходимая валовая выручка на оплату потерь </w:t>
      </w:r>
      <w:r w:rsidRPr="00E1637B">
        <w:rPr>
          <w:sz w:val="28"/>
          <w:szCs w:val="28"/>
        </w:rPr>
        <w:t>электрической энергии ОАО «АЗХО» составит</w:t>
      </w:r>
      <w:r>
        <w:rPr>
          <w:sz w:val="28"/>
          <w:szCs w:val="28"/>
        </w:rPr>
        <w:t xml:space="preserve"> 34,95 тыс руб., в том числе:</w:t>
      </w:r>
    </w:p>
    <w:p w:rsidR="00CB3866" w:rsidRPr="00E1637B" w:rsidRDefault="00CB3866" w:rsidP="00E1637B">
      <w:pPr>
        <w:ind w:firstLine="709"/>
        <w:jc w:val="both"/>
        <w:rPr>
          <w:sz w:val="28"/>
          <w:szCs w:val="28"/>
        </w:rPr>
      </w:pPr>
      <w:r w:rsidRPr="00E1637B">
        <w:rPr>
          <w:sz w:val="28"/>
          <w:szCs w:val="28"/>
        </w:rPr>
        <w:t xml:space="preserve">с 01.01.2015 по 30.06.2015 – </w:t>
      </w:r>
      <w:r w:rsidRPr="00363C60">
        <w:rPr>
          <w:b/>
          <w:sz w:val="28"/>
          <w:szCs w:val="28"/>
        </w:rPr>
        <w:t>17,38 тыс. руб</w:t>
      </w:r>
      <w:r>
        <w:rPr>
          <w:b/>
          <w:sz w:val="28"/>
          <w:szCs w:val="28"/>
        </w:rPr>
        <w:t>;</w:t>
      </w:r>
    </w:p>
    <w:p w:rsidR="00CB3866" w:rsidRPr="00363C60" w:rsidRDefault="00CB3866" w:rsidP="00E1637B">
      <w:pPr>
        <w:ind w:firstLine="709"/>
        <w:jc w:val="both"/>
        <w:rPr>
          <w:b/>
          <w:sz w:val="28"/>
          <w:szCs w:val="28"/>
        </w:rPr>
      </w:pPr>
      <w:r w:rsidRPr="00E1637B">
        <w:rPr>
          <w:sz w:val="28"/>
          <w:szCs w:val="28"/>
        </w:rPr>
        <w:t xml:space="preserve">с 01.07.2015 по 31.12.2015- </w:t>
      </w:r>
      <w:r w:rsidRPr="00363C60">
        <w:rPr>
          <w:b/>
          <w:sz w:val="28"/>
          <w:szCs w:val="28"/>
        </w:rPr>
        <w:t>17,58 тыс. руб.</w:t>
      </w:r>
    </w:p>
    <w:p w:rsidR="00CB3866" w:rsidRPr="00363C60" w:rsidRDefault="00CB3866" w:rsidP="00E1637B">
      <w:pPr>
        <w:ind w:firstLine="709"/>
        <w:jc w:val="both"/>
        <w:rPr>
          <w:b/>
          <w:sz w:val="28"/>
          <w:szCs w:val="28"/>
        </w:rPr>
      </w:pPr>
    </w:p>
    <w:p w:rsidR="00CB3866" w:rsidRPr="00D07284" w:rsidRDefault="00CB3866" w:rsidP="00B24F18">
      <w:pPr>
        <w:pStyle w:val="ListParagraph"/>
        <w:autoSpaceDE w:val="0"/>
        <w:autoSpaceDN w:val="0"/>
        <w:adjustRightInd w:val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07284">
        <w:rPr>
          <w:b/>
          <w:sz w:val="28"/>
          <w:szCs w:val="28"/>
        </w:rPr>
        <w:t>. Корректировка необходимой валовой выручки с учетом надежности и качества услуг.</w:t>
      </w:r>
    </w:p>
    <w:p w:rsidR="00CB3866" w:rsidRPr="00D07284" w:rsidRDefault="00CB3866" w:rsidP="00B24F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284">
        <w:rPr>
          <w:sz w:val="28"/>
          <w:szCs w:val="28"/>
        </w:rPr>
        <w:t>Экспертной группой при определении показателей корректировки необходимой валовой выручки для ОАО «</w:t>
      </w:r>
      <w:r>
        <w:rPr>
          <w:sz w:val="28"/>
          <w:szCs w:val="28"/>
        </w:rPr>
        <w:t>АЗХО</w:t>
      </w:r>
      <w:r w:rsidRPr="00D07284">
        <w:rPr>
          <w:sz w:val="28"/>
          <w:szCs w:val="28"/>
        </w:rPr>
        <w:t>» использованы данные о фактических значениях показателей надежности и качества поставляемых товаров и оказываемых услуг ОАО «</w:t>
      </w:r>
      <w:r>
        <w:rPr>
          <w:sz w:val="28"/>
          <w:szCs w:val="28"/>
        </w:rPr>
        <w:t>АЗХО</w:t>
      </w:r>
      <w:r w:rsidRPr="00D07284">
        <w:rPr>
          <w:sz w:val="28"/>
          <w:szCs w:val="28"/>
        </w:rPr>
        <w:t>» осуществляющего на территории Астраханской области регулируемую деятельность в сфере оказания услуг по передаче электрической энергии за 201</w:t>
      </w:r>
      <w:r>
        <w:rPr>
          <w:sz w:val="28"/>
          <w:szCs w:val="28"/>
        </w:rPr>
        <w:t>3</w:t>
      </w:r>
      <w:r w:rsidRPr="00D07284">
        <w:rPr>
          <w:sz w:val="28"/>
          <w:szCs w:val="28"/>
        </w:rPr>
        <w:t xml:space="preserve"> год, определенные распоряжением службы по тарифам Астраханской области от 2</w:t>
      </w:r>
      <w:r>
        <w:rPr>
          <w:sz w:val="28"/>
          <w:szCs w:val="28"/>
        </w:rPr>
        <w:t>1</w:t>
      </w:r>
      <w:r w:rsidRPr="00D07284">
        <w:rPr>
          <w:sz w:val="28"/>
          <w:szCs w:val="28"/>
        </w:rPr>
        <w:t>.05.201</w:t>
      </w:r>
      <w:r>
        <w:rPr>
          <w:sz w:val="28"/>
          <w:szCs w:val="28"/>
        </w:rPr>
        <w:t>4</w:t>
      </w:r>
      <w:r w:rsidRPr="00D07284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D07284">
        <w:rPr>
          <w:sz w:val="28"/>
          <w:szCs w:val="28"/>
        </w:rPr>
        <w:t>.</w:t>
      </w:r>
    </w:p>
    <w:p w:rsidR="00CB3866" w:rsidRPr="00D07284" w:rsidRDefault="00CB3866" w:rsidP="001F351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07284">
        <w:rPr>
          <w:sz w:val="28"/>
          <w:szCs w:val="28"/>
        </w:rPr>
        <w:t xml:space="preserve">Учитывая изложенное и на основании требований Методических указаний № 254-э/1 был рассчитан </w:t>
      </w:r>
      <w:r w:rsidRPr="00363C60">
        <w:rPr>
          <w:sz w:val="28"/>
          <w:szCs w:val="28"/>
        </w:rPr>
        <w:t xml:space="preserve">коэффициент в размере </w:t>
      </w:r>
      <w:r>
        <w:rPr>
          <w:sz w:val="28"/>
          <w:szCs w:val="28"/>
        </w:rPr>
        <w:t>2</w:t>
      </w:r>
      <w:r w:rsidRPr="00363C60">
        <w:rPr>
          <w:sz w:val="28"/>
          <w:szCs w:val="28"/>
        </w:rPr>
        <w:t>%</w:t>
      </w:r>
      <w:r w:rsidRPr="00D07284">
        <w:rPr>
          <w:b/>
          <w:sz w:val="28"/>
          <w:szCs w:val="28"/>
        </w:rPr>
        <w:t xml:space="preserve"> </w:t>
      </w:r>
      <w:r w:rsidRPr="00D07284">
        <w:rPr>
          <w:sz w:val="28"/>
          <w:szCs w:val="28"/>
        </w:rPr>
        <w:t>корректирующий необходимую валовую выручку сетевой организации с учетом надежности и качества производимых (реал</w:t>
      </w:r>
      <w:r>
        <w:rPr>
          <w:sz w:val="28"/>
          <w:szCs w:val="28"/>
        </w:rPr>
        <w:t>изуемых) товаров (услуг) в 2015</w:t>
      </w:r>
      <w:r w:rsidRPr="00D07284">
        <w:rPr>
          <w:sz w:val="28"/>
          <w:szCs w:val="28"/>
        </w:rPr>
        <w:t xml:space="preserve"> году. Величина корректировки НВВ 201</w:t>
      </w:r>
      <w:r>
        <w:rPr>
          <w:sz w:val="28"/>
          <w:szCs w:val="28"/>
        </w:rPr>
        <w:t>5</w:t>
      </w:r>
      <w:r w:rsidRPr="00D07284">
        <w:rPr>
          <w:sz w:val="28"/>
          <w:szCs w:val="28"/>
        </w:rPr>
        <w:t xml:space="preserve"> года с учетом фактических показателей уровня надежности и качества оказанных услуг 201</w:t>
      </w:r>
      <w:r>
        <w:rPr>
          <w:sz w:val="28"/>
          <w:szCs w:val="28"/>
        </w:rPr>
        <w:t>3</w:t>
      </w:r>
      <w:r w:rsidRPr="00D07284">
        <w:rPr>
          <w:sz w:val="28"/>
          <w:szCs w:val="28"/>
        </w:rPr>
        <w:t xml:space="preserve"> года составила </w:t>
      </w:r>
      <w:r w:rsidRPr="001F351E">
        <w:rPr>
          <w:sz w:val="28"/>
          <w:szCs w:val="28"/>
        </w:rPr>
        <w:t xml:space="preserve">4,8901 </w:t>
      </w:r>
      <w:r w:rsidRPr="00D07284">
        <w:rPr>
          <w:b/>
          <w:sz w:val="28"/>
          <w:szCs w:val="28"/>
        </w:rPr>
        <w:t>тыс. рублей:</w:t>
      </w:r>
    </w:p>
    <w:p w:rsidR="00CB3866" w:rsidRPr="00D07284" w:rsidRDefault="00CB3866" w:rsidP="00DD7A0F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119"/>
        <w:gridCol w:w="2268"/>
        <w:gridCol w:w="3509"/>
      </w:tblGrid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509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Примечание</w:t>
            </w:r>
          </w:p>
        </w:tc>
      </w:tr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B3866" w:rsidRPr="00D07284" w:rsidRDefault="00CB3866" w:rsidP="00DC62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НВВ 201</w:t>
            </w:r>
            <w:r>
              <w:rPr>
                <w:sz w:val="28"/>
                <w:szCs w:val="28"/>
              </w:rPr>
              <w:t>4</w:t>
            </w:r>
            <w:r w:rsidRPr="00D07284">
              <w:rPr>
                <w:sz w:val="28"/>
                <w:szCs w:val="28"/>
              </w:rPr>
              <w:t xml:space="preserve"> г. (тыс. руб.)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400,43</w:t>
            </w:r>
          </w:p>
        </w:tc>
        <w:tc>
          <w:tcPr>
            <w:tcW w:w="3509" w:type="dxa"/>
          </w:tcPr>
          <w:p w:rsidR="00CB3866" w:rsidRPr="00D07284" w:rsidRDefault="00CB3866" w:rsidP="00DC62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Показатель НВВ, учтенный  в тарифах на 201</w:t>
            </w:r>
            <w:r>
              <w:rPr>
                <w:sz w:val="28"/>
                <w:szCs w:val="28"/>
              </w:rPr>
              <w:t>4</w:t>
            </w:r>
            <w:r w:rsidRPr="00D07284">
              <w:rPr>
                <w:sz w:val="28"/>
                <w:szCs w:val="28"/>
              </w:rPr>
              <w:t xml:space="preserve"> год</w:t>
            </w:r>
          </w:p>
        </w:tc>
      </w:tr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B3866" w:rsidRPr="00D07284" w:rsidRDefault="00CB3866" w:rsidP="00DC62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Обобщенный показатель надежности и качества оказываемых услуг в 201</w:t>
            </w:r>
            <w:r>
              <w:rPr>
                <w:sz w:val="28"/>
                <w:szCs w:val="28"/>
              </w:rPr>
              <w:t>3</w:t>
            </w:r>
            <w:r w:rsidRPr="00D07284">
              <w:rPr>
                <w:sz w:val="28"/>
                <w:szCs w:val="28"/>
              </w:rPr>
              <w:t xml:space="preserve"> году (Коб</w:t>
            </w:r>
            <w:r w:rsidRPr="00D07284">
              <w:rPr>
                <w:sz w:val="28"/>
                <w:szCs w:val="28"/>
                <w:lang w:val="en-US"/>
              </w:rPr>
              <w:t>i</w:t>
            </w:r>
            <w:r w:rsidRPr="00D07284">
              <w:rPr>
                <w:sz w:val="28"/>
                <w:szCs w:val="28"/>
              </w:rPr>
              <w:t>)</w:t>
            </w:r>
            <w:r w:rsidRPr="00D072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CB3866" w:rsidRPr="00D07284" w:rsidRDefault="00CB3866" w:rsidP="0041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На основании распоряжения службы по тарифам Астраханской области от 2</w:t>
            </w:r>
            <w:r>
              <w:rPr>
                <w:sz w:val="28"/>
                <w:szCs w:val="28"/>
              </w:rPr>
              <w:t>1</w:t>
            </w:r>
            <w:r w:rsidRPr="00D07284">
              <w:rPr>
                <w:sz w:val="28"/>
                <w:szCs w:val="28"/>
              </w:rPr>
              <w:t xml:space="preserve">.05.2013 № </w:t>
            </w:r>
            <w:r>
              <w:rPr>
                <w:sz w:val="28"/>
                <w:szCs w:val="28"/>
              </w:rPr>
              <w:t>46</w:t>
            </w:r>
          </w:p>
        </w:tc>
      </w:tr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B3866" w:rsidRPr="00D07284" w:rsidRDefault="00CB3866" w:rsidP="0041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Максимальный % корректировки для 201</w:t>
            </w:r>
            <w:r>
              <w:rPr>
                <w:sz w:val="28"/>
                <w:szCs w:val="28"/>
              </w:rPr>
              <w:t>3</w:t>
            </w:r>
            <w:r w:rsidRPr="00D07284">
              <w:rPr>
                <w:sz w:val="28"/>
                <w:szCs w:val="28"/>
              </w:rPr>
              <w:t xml:space="preserve"> года (Пкор</w:t>
            </w:r>
            <w:r w:rsidRPr="00D07284">
              <w:rPr>
                <w:sz w:val="28"/>
                <w:szCs w:val="28"/>
                <w:lang w:val="en-US"/>
              </w:rPr>
              <w:t>i</w:t>
            </w:r>
            <w:r w:rsidRPr="00D072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7284">
              <w:rPr>
                <w:sz w:val="28"/>
                <w:szCs w:val="28"/>
              </w:rPr>
              <w:t>%</w:t>
            </w:r>
          </w:p>
        </w:tc>
        <w:tc>
          <w:tcPr>
            <w:tcW w:w="3509" w:type="dxa"/>
          </w:tcPr>
          <w:p w:rsidR="00CB3866" w:rsidRPr="00D07284" w:rsidRDefault="00CB3866" w:rsidP="0041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П.5 Методических указаний № 254-э/1</w:t>
            </w:r>
          </w:p>
        </w:tc>
      </w:tr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B3866" w:rsidRPr="00D07284" w:rsidRDefault="00CB3866" w:rsidP="0041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 xml:space="preserve">Расчет </w:t>
            </w:r>
            <w:r>
              <w:rPr>
                <w:sz w:val="28"/>
                <w:szCs w:val="28"/>
              </w:rPr>
              <w:t>повышающего</w:t>
            </w:r>
            <w:r w:rsidRPr="00D07284">
              <w:rPr>
                <w:sz w:val="28"/>
                <w:szCs w:val="28"/>
              </w:rPr>
              <w:t xml:space="preserve"> коэффициента (КНК</w:t>
            </w:r>
            <w:r w:rsidRPr="00D07284">
              <w:rPr>
                <w:sz w:val="28"/>
                <w:szCs w:val="28"/>
                <w:lang w:val="en-US"/>
              </w:rPr>
              <w:t>i</w:t>
            </w:r>
            <w:r w:rsidRPr="00D0728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CB3866" w:rsidRPr="00D07284" w:rsidRDefault="00CB3866" w:rsidP="0041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1*2</w:t>
            </w:r>
            <w:r w:rsidRPr="00D07284">
              <w:rPr>
                <w:sz w:val="28"/>
                <w:szCs w:val="28"/>
              </w:rPr>
              <w:t>%)/100 (формула 1  Методических № 254-э/1)</w:t>
            </w:r>
          </w:p>
        </w:tc>
      </w:tr>
      <w:tr w:rsidR="00CB3866" w:rsidRPr="00D07284" w:rsidTr="00C9339A">
        <w:tc>
          <w:tcPr>
            <w:tcW w:w="675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Сумма корректировки НВВ (тыс. руб.)</w:t>
            </w:r>
          </w:p>
        </w:tc>
        <w:tc>
          <w:tcPr>
            <w:tcW w:w="2268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4,8901</w:t>
            </w:r>
          </w:p>
        </w:tc>
        <w:tc>
          <w:tcPr>
            <w:tcW w:w="3509" w:type="dxa"/>
          </w:tcPr>
          <w:p w:rsidR="00CB3866" w:rsidRPr="00D07284" w:rsidRDefault="00CB3866" w:rsidP="00C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284">
              <w:rPr>
                <w:sz w:val="28"/>
                <w:szCs w:val="28"/>
              </w:rPr>
              <w:t>п.1* п.4</w:t>
            </w:r>
          </w:p>
        </w:tc>
      </w:tr>
    </w:tbl>
    <w:p w:rsidR="00CB3866" w:rsidRDefault="00CB3866" w:rsidP="00DD7A0F">
      <w:pPr>
        <w:rPr>
          <w:sz w:val="28"/>
          <w:szCs w:val="28"/>
        </w:rPr>
      </w:pPr>
      <w:r w:rsidRPr="00D07284">
        <w:rPr>
          <w:sz w:val="28"/>
          <w:szCs w:val="28"/>
        </w:rPr>
        <w:t xml:space="preserve">  </w:t>
      </w:r>
    </w:p>
    <w:p w:rsidR="00CB3866" w:rsidRDefault="00CB3866" w:rsidP="00DD7A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6C5A">
        <w:rPr>
          <w:sz w:val="28"/>
          <w:szCs w:val="28"/>
        </w:rPr>
        <w:t xml:space="preserve"> </w:t>
      </w:r>
      <w:r w:rsidRPr="00B16C5A">
        <w:rPr>
          <w:b/>
          <w:sz w:val="28"/>
          <w:szCs w:val="28"/>
        </w:rPr>
        <w:t>Необходимая валовая выручка ОАО «АЗХО» на услуги по передаче электрической энергии на долгосрочный период регулирования с 01.01.2015 по 31.12.2015</w:t>
      </w:r>
    </w:p>
    <w:p w:rsidR="00CB3866" w:rsidRPr="00B16C5A" w:rsidRDefault="00CB3866" w:rsidP="00DD7A0F">
      <w:pPr>
        <w:rPr>
          <w:b/>
          <w:sz w:val="28"/>
          <w:szCs w:val="28"/>
        </w:rPr>
      </w:pPr>
    </w:p>
    <w:p w:rsidR="00CB3866" w:rsidRDefault="00CB3866" w:rsidP="00DD7A0F">
      <w:pPr>
        <w:ind w:firstLine="709"/>
        <w:jc w:val="both"/>
        <w:rPr>
          <w:sz w:val="28"/>
          <w:szCs w:val="28"/>
        </w:rPr>
      </w:pPr>
      <w:r w:rsidRPr="00D07284">
        <w:rPr>
          <w:sz w:val="28"/>
          <w:szCs w:val="28"/>
        </w:rPr>
        <w:t xml:space="preserve">С учетом изложенного </w:t>
      </w:r>
      <w:r w:rsidRPr="00D07284">
        <w:rPr>
          <w:b/>
          <w:sz w:val="28"/>
          <w:szCs w:val="28"/>
        </w:rPr>
        <w:t xml:space="preserve">НВВ </w:t>
      </w:r>
      <w:r>
        <w:rPr>
          <w:b/>
          <w:sz w:val="28"/>
          <w:szCs w:val="28"/>
        </w:rPr>
        <w:t>2015</w:t>
      </w:r>
      <w:r w:rsidRPr="00D07284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на содержание</w:t>
      </w:r>
      <w:r w:rsidRPr="00B16C5A">
        <w:t xml:space="preserve"> </w:t>
      </w:r>
      <w:r w:rsidRPr="00B16C5A">
        <w:rPr>
          <w:b/>
          <w:sz w:val="28"/>
          <w:szCs w:val="28"/>
        </w:rPr>
        <w:t>электрических сетей</w:t>
      </w:r>
      <w:r w:rsidRPr="00D07284">
        <w:rPr>
          <w:sz w:val="28"/>
          <w:szCs w:val="28"/>
        </w:rPr>
        <w:t xml:space="preserve"> ОАО «</w:t>
      </w:r>
      <w:r>
        <w:rPr>
          <w:sz w:val="28"/>
          <w:szCs w:val="28"/>
        </w:rPr>
        <w:t xml:space="preserve">АЗХО» </w:t>
      </w:r>
      <w:r w:rsidRPr="00D07284">
        <w:rPr>
          <w:sz w:val="28"/>
          <w:szCs w:val="28"/>
        </w:rPr>
        <w:t xml:space="preserve">с учетом корректировки составит </w:t>
      </w:r>
      <w:r>
        <w:rPr>
          <w:b/>
          <w:sz w:val="28"/>
          <w:szCs w:val="28"/>
        </w:rPr>
        <w:t>1585,4</w:t>
      </w:r>
      <w:r w:rsidRPr="00D07284">
        <w:rPr>
          <w:b/>
          <w:sz w:val="28"/>
          <w:szCs w:val="28"/>
        </w:rPr>
        <w:t xml:space="preserve"> тыс. руб., </w:t>
      </w:r>
      <w:r w:rsidRPr="00D07284">
        <w:rPr>
          <w:sz w:val="28"/>
          <w:szCs w:val="28"/>
        </w:rPr>
        <w:t>в том числе:</w:t>
      </w:r>
    </w:p>
    <w:p w:rsidR="00CB3866" w:rsidRPr="00B16C5A" w:rsidRDefault="00CB3866" w:rsidP="00B16C5A">
      <w:pPr>
        <w:ind w:firstLine="709"/>
        <w:jc w:val="both"/>
        <w:rPr>
          <w:sz w:val="28"/>
          <w:szCs w:val="28"/>
        </w:rPr>
      </w:pPr>
      <w:r w:rsidRPr="00B16C5A">
        <w:rPr>
          <w:sz w:val="28"/>
          <w:szCs w:val="28"/>
        </w:rPr>
        <w:t>с 01.01.2015 по 30.06.2015 – 792,68 тыс. руб.</w:t>
      </w:r>
    </w:p>
    <w:p w:rsidR="00CB3866" w:rsidRPr="00D07284" w:rsidRDefault="00CB3866" w:rsidP="00B16C5A">
      <w:pPr>
        <w:ind w:firstLine="709"/>
        <w:jc w:val="both"/>
        <w:rPr>
          <w:sz w:val="28"/>
          <w:szCs w:val="28"/>
        </w:rPr>
      </w:pPr>
      <w:r w:rsidRPr="00B16C5A">
        <w:rPr>
          <w:sz w:val="28"/>
          <w:szCs w:val="28"/>
        </w:rPr>
        <w:t>с 01.07.2015 по 31.12.2015- 792,72 тыс. руб.</w:t>
      </w:r>
    </w:p>
    <w:p w:rsidR="00CB3866" w:rsidRPr="002C59B2" w:rsidRDefault="00CB3866" w:rsidP="002C59B2">
      <w:pPr>
        <w:ind w:firstLine="709"/>
        <w:jc w:val="both"/>
        <w:rPr>
          <w:b/>
          <w:sz w:val="28"/>
          <w:szCs w:val="28"/>
        </w:rPr>
      </w:pPr>
      <w:r w:rsidRPr="002C59B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2C59B2">
        <w:rPr>
          <w:b/>
          <w:sz w:val="28"/>
          <w:szCs w:val="28"/>
        </w:rPr>
        <w:t>. Итого необходимая валовая выручка ОАО «АЗХО» на услуги по передаче электрической энергии составит</w:t>
      </w:r>
      <w:r>
        <w:rPr>
          <w:b/>
          <w:sz w:val="28"/>
          <w:szCs w:val="28"/>
        </w:rPr>
        <w:t>1620,36 тыс руб.</w:t>
      </w:r>
      <w:r w:rsidRPr="002C59B2">
        <w:rPr>
          <w:b/>
          <w:sz w:val="28"/>
          <w:szCs w:val="28"/>
        </w:rPr>
        <w:t>:</w:t>
      </w:r>
    </w:p>
    <w:p w:rsidR="00CB3866" w:rsidRPr="002C59B2" w:rsidRDefault="00CB3866" w:rsidP="002C59B2">
      <w:pPr>
        <w:ind w:firstLine="709"/>
        <w:jc w:val="both"/>
        <w:rPr>
          <w:sz w:val="28"/>
          <w:szCs w:val="28"/>
        </w:rPr>
      </w:pPr>
      <w:r w:rsidRPr="002C59B2">
        <w:rPr>
          <w:sz w:val="28"/>
          <w:szCs w:val="28"/>
        </w:rPr>
        <w:t xml:space="preserve">с 01.01.2015 по 30.06.2015 – </w:t>
      </w:r>
      <w:r w:rsidRPr="002C59B2">
        <w:rPr>
          <w:b/>
          <w:sz w:val="28"/>
          <w:szCs w:val="28"/>
        </w:rPr>
        <w:t>810,06 тыс. руб.</w:t>
      </w:r>
    </w:p>
    <w:p w:rsidR="00CB3866" w:rsidRPr="002C59B2" w:rsidRDefault="00CB3866" w:rsidP="002C59B2">
      <w:pPr>
        <w:ind w:firstLine="709"/>
        <w:jc w:val="both"/>
        <w:rPr>
          <w:sz w:val="28"/>
          <w:szCs w:val="28"/>
        </w:rPr>
      </w:pPr>
      <w:r w:rsidRPr="002C59B2">
        <w:rPr>
          <w:sz w:val="28"/>
          <w:szCs w:val="28"/>
        </w:rPr>
        <w:t xml:space="preserve">с 01.07.2015 по 31.12.2015- </w:t>
      </w:r>
      <w:r w:rsidRPr="002C59B2">
        <w:rPr>
          <w:b/>
          <w:sz w:val="28"/>
          <w:szCs w:val="28"/>
        </w:rPr>
        <w:t>810,3 тыс. руб</w:t>
      </w:r>
      <w:r w:rsidRPr="002C59B2">
        <w:rPr>
          <w:sz w:val="28"/>
          <w:szCs w:val="28"/>
        </w:rPr>
        <w:t>.</w:t>
      </w:r>
    </w:p>
    <w:p w:rsidR="00CB3866" w:rsidRPr="002C59B2" w:rsidRDefault="00CB3866" w:rsidP="002C59B2">
      <w:pPr>
        <w:ind w:firstLine="709"/>
        <w:jc w:val="both"/>
        <w:rPr>
          <w:sz w:val="28"/>
          <w:szCs w:val="28"/>
        </w:rPr>
      </w:pPr>
    </w:p>
    <w:p w:rsidR="00CB3866" w:rsidRDefault="00CB3866" w:rsidP="001F35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2C59B2">
        <w:rPr>
          <w:b/>
          <w:sz w:val="28"/>
          <w:szCs w:val="28"/>
        </w:rPr>
        <w:t xml:space="preserve">Индивидуальные тарифы на услуги по передаче электрической энергии для взаиморасчетов между ОАО «АЗХО» и филиалом ОАО «МРСК Юга» экспертной группой выполнен с учетом требований раздела </w:t>
      </w:r>
      <w:r w:rsidRPr="002C59B2">
        <w:rPr>
          <w:b/>
          <w:sz w:val="28"/>
          <w:szCs w:val="28"/>
          <w:lang w:val="en-US"/>
        </w:rPr>
        <w:t>VIII</w:t>
      </w:r>
      <w:r w:rsidRPr="002C59B2">
        <w:rPr>
          <w:b/>
          <w:sz w:val="28"/>
          <w:szCs w:val="28"/>
        </w:rPr>
        <w:t xml:space="preserve"> Методических указаний № 20-э/2</w:t>
      </w:r>
    </w:p>
    <w:p w:rsidR="00CB3866" w:rsidRPr="002C59B2" w:rsidRDefault="00CB3866" w:rsidP="001F351E">
      <w:pPr>
        <w:ind w:firstLine="709"/>
        <w:jc w:val="both"/>
        <w:rPr>
          <w:b/>
          <w:sz w:val="28"/>
          <w:szCs w:val="28"/>
        </w:rPr>
      </w:pPr>
    </w:p>
    <w:p w:rsidR="00CB3866" w:rsidRDefault="00CB3866" w:rsidP="001F351E">
      <w:pPr>
        <w:ind w:firstLine="709"/>
        <w:jc w:val="both"/>
        <w:rPr>
          <w:sz w:val="28"/>
          <w:szCs w:val="28"/>
        </w:rPr>
      </w:pPr>
      <w:r w:rsidRPr="00D07284">
        <w:rPr>
          <w:sz w:val="28"/>
          <w:szCs w:val="28"/>
        </w:rPr>
        <w:t>С учетом корректировки индивидуальные тарифы на услуги по передаче электрической энергии для взаиморасчетов между ОАО «</w:t>
      </w:r>
      <w:r>
        <w:rPr>
          <w:sz w:val="28"/>
          <w:szCs w:val="28"/>
        </w:rPr>
        <w:t>АЗХО</w:t>
      </w:r>
      <w:r w:rsidRPr="00D07284">
        <w:rPr>
          <w:sz w:val="28"/>
          <w:szCs w:val="28"/>
        </w:rPr>
        <w:t>» и филиалом ОАО «МРСК Юга» - «Астраханьэнерго» на 201</w:t>
      </w:r>
      <w:r>
        <w:rPr>
          <w:sz w:val="28"/>
          <w:szCs w:val="28"/>
        </w:rPr>
        <w:t>5</w:t>
      </w:r>
      <w:r w:rsidRPr="00D07284">
        <w:rPr>
          <w:sz w:val="28"/>
          <w:szCs w:val="28"/>
        </w:rPr>
        <w:t xml:space="preserve"> составят:</w:t>
      </w:r>
    </w:p>
    <w:p w:rsidR="00CB3866" w:rsidRPr="00D07284" w:rsidRDefault="00CB3866" w:rsidP="001F351E">
      <w:pPr>
        <w:ind w:firstLine="709"/>
        <w:jc w:val="both"/>
        <w:rPr>
          <w:sz w:val="28"/>
          <w:szCs w:val="28"/>
        </w:rPr>
      </w:pPr>
    </w:p>
    <w:p w:rsidR="00CB3866" w:rsidRPr="00EE0C3C" w:rsidRDefault="00CB3866" w:rsidP="00E548AC">
      <w:pPr>
        <w:ind w:firstLine="709"/>
        <w:jc w:val="both"/>
        <w:rPr>
          <w:b/>
          <w:i/>
          <w:sz w:val="28"/>
          <w:szCs w:val="28"/>
        </w:rPr>
      </w:pPr>
      <w:r w:rsidRPr="00EE0C3C">
        <w:rPr>
          <w:b/>
          <w:sz w:val="28"/>
          <w:szCs w:val="28"/>
        </w:rPr>
        <w:t xml:space="preserve">1. </w:t>
      </w:r>
      <w:r w:rsidRPr="00EE0C3C">
        <w:rPr>
          <w:b/>
          <w:i/>
          <w:sz w:val="28"/>
          <w:szCs w:val="28"/>
        </w:rPr>
        <w:t>с 01.01.201</w:t>
      </w:r>
      <w:r>
        <w:rPr>
          <w:b/>
          <w:i/>
          <w:sz w:val="28"/>
          <w:szCs w:val="28"/>
        </w:rPr>
        <w:t>5</w:t>
      </w:r>
      <w:r w:rsidRPr="00EE0C3C">
        <w:rPr>
          <w:b/>
          <w:i/>
          <w:sz w:val="28"/>
          <w:szCs w:val="28"/>
        </w:rPr>
        <w:t xml:space="preserve"> по 30.06.201</w:t>
      </w:r>
      <w:r>
        <w:rPr>
          <w:b/>
          <w:i/>
          <w:sz w:val="28"/>
          <w:szCs w:val="28"/>
        </w:rPr>
        <w:t>5:</w:t>
      </w:r>
    </w:p>
    <w:p w:rsidR="00CB3866" w:rsidRPr="00EE0C3C" w:rsidRDefault="00CB3866" w:rsidP="00731AD8">
      <w:pPr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одноставочный тариф</w:t>
      </w:r>
      <w:r w:rsidRPr="00EE0C3C">
        <w:rPr>
          <w:sz w:val="28"/>
          <w:szCs w:val="28"/>
        </w:rPr>
        <w:t xml:space="preserve"> на услуги по передаче электрической энергии </w:t>
      </w:r>
      <w:r w:rsidRPr="00FD6262">
        <w:rPr>
          <w:b/>
          <w:color w:val="000000"/>
          <w:sz w:val="28"/>
          <w:szCs w:val="28"/>
        </w:rPr>
        <w:t xml:space="preserve">1,30 </w:t>
      </w:r>
      <w:r w:rsidRPr="00FD6262">
        <w:rPr>
          <w:b/>
          <w:sz w:val="28"/>
          <w:szCs w:val="28"/>
        </w:rPr>
        <w:t xml:space="preserve">руб./ </w:t>
      </w:r>
      <w:r>
        <w:rPr>
          <w:b/>
          <w:sz w:val="28"/>
          <w:szCs w:val="28"/>
        </w:rPr>
        <w:t>к</w:t>
      </w:r>
      <w:r w:rsidRPr="00FD6262">
        <w:rPr>
          <w:b/>
          <w:sz w:val="28"/>
          <w:szCs w:val="28"/>
        </w:rPr>
        <w:t>Вт ч</w:t>
      </w:r>
      <w:r w:rsidRPr="00EE0C3C">
        <w:rPr>
          <w:sz w:val="28"/>
          <w:szCs w:val="28"/>
        </w:rPr>
        <w:t xml:space="preserve"> (без НДС) (рост к аналогичному тарифу </w:t>
      </w:r>
      <w:r>
        <w:rPr>
          <w:sz w:val="28"/>
          <w:szCs w:val="28"/>
        </w:rPr>
        <w:t>1</w:t>
      </w:r>
      <w:r w:rsidRPr="00EE0C3C">
        <w:rPr>
          <w:sz w:val="28"/>
          <w:szCs w:val="28"/>
        </w:rPr>
        <w:t>-го полугодия 201</w:t>
      </w:r>
      <w:r>
        <w:rPr>
          <w:sz w:val="28"/>
          <w:szCs w:val="28"/>
        </w:rPr>
        <w:t>4 338,7%)</w:t>
      </w:r>
      <w:r w:rsidRPr="00EE0C3C">
        <w:rPr>
          <w:sz w:val="28"/>
          <w:szCs w:val="28"/>
        </w:rPr>
        <w:t xml:space="preserve">; </w:t>
      </w:r>
    </w:p>
    <w:p w:rsidR="00CB3866" w:rsidRPr="00EE0C3C" w:rsidRDefault="00CB3866" w:rsidP="00E548AC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двухставочный тариф</w:t>
      </w:r>
      <w:r w:rsidRPr="00EE0C3C">
        <w:rPr>
          <w:sz w:val="28"/>
          <w:szCs w:val="28"/>
        </w:rPr>
        <w:t xml:space="preserve"> составит:</w:t>
      </w:r>
    </w:p>
    <w:p w:rsidR="00CB3866" w:rsidRPr="00EE0C3C" w:rsidRDefault="00CB3866" w:rsidP="00E548AC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по ставке за содержание электрических сетей</w:t>
      </w:r>
      <w:r w:rsidRPr="00EE0C3C">
        <w:rPr>
          <w:sz w:val="28"/>
          <w:szCs w:val="28"/>
        </w:rPr>
        <w:t xml:space="preserve"> </w:t>
      </w:r>
      <w:r w:rsidRPr="001E234E">
        <w:rPr>
          <w:b/>
          <w:sz w:val="28"/>
          <w:szCs w:val="28"/>
        </w:rPr>
        <w:t xml:space="preserve">534,01 </w:t>
      </w:r>
      <w:r w:rsidRPr="00EE0C3C">
        <w:rPr>
          <w:b/>
          <w:sz w:val="28"/>
          <w:szCs w:val="28"/>
        </w:rPr>
        <w:t>руб./</w:t>
      </w:r>
      <w:r>
        <w:rPr>
          <w:b/>
          <w:sz w:val="28"/>
          <w:szCs w:val="28"/>
        </w:rPr>
        <w:t>к</w:t>
      </w:r>
      <w:r w:rsidRPr="00EE0C3C">
        <w:rPr>
          <w:b/>
          <w:sz w:val="28"/>
          <w:szCs w:val="28"/>
        </w:rPr>
        <w:t>Вт мес</w:t>
      </w:r>
      <w:r w:rsidRPr="00EE0C3C">
        <w:rPr>
          <w:sz w:val="28"/>
          <w:szCs w:val="28"/>
        </w:rPr>
        <w:t xml:space="preserve">. (без НДС) (темп роста к аналогичному тарифу </w:t>
      </w:r>
      <w:r>
        <w:rPr>
          <w:sz w:val="28"/>
          <w:szCs w:val="28"/>
        </w:rPr>
        <w:t>1</w:t>
      </w:r>
      <w:r w:rsidRPr="00EE0C3C">
        <w:rPr>
          <w:sz w:val="28"/>
          <w:szCs w:val="28"/>
        </w:rPr>
        <w:t>-го полугодия 201</w:t>
      </w:r>
      <w:r>
        <w:rPr>
          <w:sz w:val="28"/>
          <w:szCs w:val="28"/>
        </w:rPr>
        <w:t>4</w:t>
      </w:r>
      <w:r w:rsidRPr="00EE0C3C">
        <w:rPr>
          <w:sz w:val="28"/>
          <w:szCs w:val="28"/>
        </w:rPr>
        <w:t xml:space="preserve"> года </w:t>
      </w:r>
      <w:r>
        <w:rPr>
          <w:sz w:val="28"/>
          <w:szCs w:val="28"/>
        </w:rPr>
        <w:t>396,3%)</w:t>
      </w:r>
    </w:p>
    <w:p w:rsidR="00CB3866" w:rsidRPr="00EE0C3C" w:rsidRDefault="00CB3866" w:rsidP="00E548AC">
      <w:pPr>
        <w:ind w:firstLine="709"/>
        <w:jc w:val="both"/>
        <w:rPr>
          <w:b/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 xml:space="preserve">по ставке </w:t>
      </w:r>
      <w:r>
        <w:rPr>
          <w:sz w:val="28"/>
          <w:szCs w:val="28"/>
          <w:u w:val="single"/>
        </w:rPr>
        <w:t xml:space="preserve">на </w:t>
      </w:r>
      <w:r w:rsidRPr="00E077AB">
        <w:rPr>
          <w:sz w:val="28"/>
          <w:szCs w:val="28"/>
          <w:u w:val="single"/>
        </w:rPr>
        <w:t>оплат</w:t>
      </w:r>
      <w:r>
        <w:rPr>
          <w:sz w:val="28"/>
          <w:szCs w:val="28"/>
          <w:u w:val="single"/>
        </w:rPr>
        <w:t>у</w:t>
      </w:r>
      <w:r w:rsidRPr="00E077AB">
        <w:rPr>
          <w:sz w:val="28"/>
          <w:szCs w:val="28"/>
          <w:u w:val="single"/>
        </w:rPr>
        <w:t xml:space="preserve"> технологическ</w:t>
      </w:r>
      <w:r>
        <w:rPr>
          <w:sz w:val="28"/>
          <w:szCs w:val="28"/>
          <w:u w:val="single"/>
        </w:rPr>
        <w:t>ого</w:t>
      </w:r>
      <w:r w:rsidRPr="00E077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расхода (</w:t>
      </w:r>
      <w:r w:rsidRPr="00E077AB">
        <w:rPr>
          <w:sz w:val="28"/>
          <w:szCs w:val="28"/>
          <w:u w:val="single"/>
        </w:rPr>
        <w:t>потерь</w:t>
      </w:r>
      <w:r>
        <w:rPr>
          <w:sz w:val="28"/>
          <w:szCs w:val="28"/>
          <w:u w:val="single"/>
        </w:rPr>
        <w:t>) электрической энергии</w:t>
      </w:r>
      <w:r w:rsidRPr="00EE0C3C">
        <w:rPr>
          <w:sz w:val="28"/>
          <w:szCs w:val="28"/>
        </w:rPr>
        <w:t xml:space="preserve"> </w:t>
      </w:r>
      <w:r w:rsidRPr="001E234E">
        <w:rPr>
          <w:b/>
          <w:sz w:val="28"/>
          <w:szCs w:val="28"/>
        </w:rPr>
        <w:t xml:space="preserve">0,03 </w:t>
      </w:r>
      <w:r w:rsidRPr="00EE0C3C">
        <w:rPr>
          <w:b/>
          <w:sz w:val="28"/>
          <w:szCs w:val="28"/>
        </w:rPr>
        <w:t>руб./</w:t>
      </w:r>
      <w:r>
        <w:rPr>
          <w:b/>
          <w:sz w:val="28"/>
          <w:szCs w:val="28"/>
        </w:rPr>
        <w:t>к</w:t>
      </w:r>
      <w:r w:rsidRPr="00EE0C3C">
        <w:rPr>
          <w:b/>
          <w:sz w:val="28"/>
          <w:szCs w:val="28"/>
        </w:rPr>
        <w:t>Вт ч</w:t>
      </w:r>
      <w:r w:rsidRPr="00EE0C3C">
        <w:rPr>
          <w:sz w:val="28"/>
          <w:szCs w:val="28"/>
        </w:rPr>
        <w:t xml:space="preserve"> (без НДС) (</w:t>
      </w:r>
      <w:r>
        <w:rPr>
          <w:sz w:val="28"/>
          <w:szCs w:val="28"/>
        </w:rPr>
        <w:t>снижение на 50,6%) из-за снижения объема потерь электрической энергии на 55,5%.</w:t>
      </w:r>
    </w:p>
    <w:p w:rsidR="00CB3866" w:rsidRDefault="00CB3866" w:rsidP="00E548AC">
      <w:pPr>
        <w:ind w:firstLine="709"/>
        <w:jc w:val="both"/>
        <w:rPr>
          <w:b/>
          <w:i/>
          <w:sz w:val="28"/>
          <w:szCs w:val="28"/>
        </w:rPr>
      </w:pPr>
      <w:r w:rsidRPr="00EE0C3C">
        <w:rPr>
          <w:b/>
          <w:sz w:val="28"/>
          <w:szCs w:val="28"/>
        </w:rPr>
        <w:t xml:space="preserve">2. </w:t>
      </w:r>
      <w:r w:rsidRPr="00EE0C3C">
        <w:rPr>
          <w:b/>
          <w:i/>
          <w:sz w:val="28"/>
          <w:szCs w:val="28"/>
        </w:rPr>
        <w:t>С 01.07.201</w:t>
      </w:r>
      <w:r>
        <w:rPr>
          <w:b/>
          <w:i/>
          <w:sz w:val="28"/>
          <w:szCs w:val="28"/>
        </w:rPr>
        <w:t>5</w:t>
      </w:r>
      <w:r w:rsidRPr="00EE0C3C">
        <w:rPr>
          <w:b/>
          <w:i/>
          <w:sz w:val="28"/>
          <w:szCs w:val="28"/>
        </w:rPr>
        <w:t xml:space="preserve"> по 31.12.201</w:t>
      </w:r>
      <w:r>
        <w:rPr>
          <w:b/>
          <w:i/>
          <w:sz w:val="28"/>
          <w:szCs w:val="28"/>
        </w:rPr>
        <w:t>5</w:t>
      </w:r>
      <w:r w:rsidRPr="00EE0C3C">
        <w:rPr>
          <w:b/>
          <w:i/>
          <w:sz w:val="28"/>
          <w:szCs w:val="28"/>
        </w:rPr>
        <w:t>:</w:t>
      </w:r>
    </w:p>
    <w:p w:rsidR="00CB3866" w:rsidRPr="00EE0C3C" w:rsidRDefault="00CB3866" w:rsidP="00E548AC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одноставочный  тариф на услуги по передаче электрической энергии  </w:t>
      </w:r>
      <w:r w:rsidRPr="00E077AB">
        <w:rPr>
          <w:b/>
          <w:sz w:val="28"/>
          <w:szCs w:val="28"/>
        </w:rPr>
        <w:t>1,30 руб./кВт ч</w:t>
      </w:r>
      <w:r w:rsidRPr="00EE0C3C">
        <w:rPr>
          <w:sz w:val="28"/>
          <w:szCs w:val="28"/>
        </w:rPr>
        <w:t xml:space="preserve"> (без НДС) </w:t>
      </w:r>
      <w:r>
        <w:rPr>
          <w:sz w:val="28"/>
          <w:szCs w:val="28"/>
        </w:rPr>
        <w:t>(</w:t>
      </w:r>
      <w:r w:rsidRPr="00EE0C3C">
        <w:rPr>
          <w:sz w:val="28"/>
          <w:szCs w:val="28"/>
        </w:rPr>
        <w:t xml:space="preserve">рост к аналогичному тарифу </w:t>
      </w:r>
      <w:r>
        <w:rPr>
          <w:sz w:val="28"/>
          <w:szCs w:val="28"/>
        </w:rPr>
        <w:t>1</w:t>
      </w:r>
      <w:r w:rsidRPr="00EE0C3C">
        <w:rPr>
          <w:sz w:val="28"/>
          <w:szCs w:val="28"/>
        </w:rPr>
        <w:t>-го полугодия 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100%</w:t>
      </w:r>
      <w:r w:rsidRPr="00EE0C3C">
        <w:rPr>
          <w:sz w:val="28"/>
          <w:szCs w:val="28"/>
        </w:rPr>
        <w:t xml:space="preserve">); </w:t>
      </w:r>
    </w:p>
    <w:p w:rsidR="00CB3866" w:rsidRPr="00EE0C3C" w:rsidRDefault="00CB3866" w:rsidP="00E548AC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двухставочный тариф</w:t>
      </w:r>
      <w:r w:rsidRPr="00EE0C3C">
        <w:rPr>
          <w:sz w:val="28"/>
          <w:szCs w:val="28"/>
        </w:rPr>
        <w:t xml:space="preserve"> составит:</w:t>
      </w:r>
    </w:p>
    <w:p w:rsidR="00CB3866" w:rsidRPr="00EE0C3C" w:rsidRDefault="00CB3866" w:rsidP="00E548AC">
      <w:pPr>
        <w:ind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по ставке за содержание электрических сетей</w:t>
      </w:r>
      <w:r w:rsidRPr="00EE0C3C">
        <w:rPr>
          <w:sz w:val="28"/>
          <w:szCs w:val="28"/>
        </w:rPr>
        <w:t xml:space="preserve"> </w:t>
      </w:r>
      <w:r w:rsidRPr="001E234E">
        <w:rPr>
          <w:b/>
          <w:sz w:val="28"/>
          <w:szCs w:val="28"/>
        </w:rPr>
        <w:t xml:space="preserve">534,03 </w:t>
      </w:r>
      <w:r w:rsidRPr="00EE0C3C">
        <w:rPr>
          <w:b/>
          <w:sz w:val="28"/>
          <w:szCs w:val="28"/>
        </w:rPr>
        <w:t>руб./</w:t>
      </w:r>
      <w:r>
        <w:rPr>
          <w:b/>
          <w:sz w:val="28"/>
          <w:szCs w:val="28"/>
        </w:rPr>
        <w:t>к</w:t>
      </w:r>
      <w:r w:rsidRPr="00EE0C3C">
        <w:rPr>
          <w:b/>
          <w:sz w:val="28"/>
          <w:szCs w:val="28"/>
        </w:rPr>
        <w:t>Вт мес</w:t>
      </w:r>
      <w:r w:rsidRPr="00EE0C3C">
        <w:rPr>
          <w:sz w:val="28"/>
          <w:szCs w:val="28"/>
        </w:rPr>
        <w:t>. (без НДС)</w:t>
      </w:r>
      <w:r>
        <w:rPr>
          <w:sz w:val="28"/>
          <w:szCs w:val="28"/>
        </w:rPr>
        <w:t xml:space="preserve"> (рост на уровне аналогичноого тарифа 1</w:t>
      </w:r>
      <w:r w:rsidRPr="00EE0C3C">
        <w:rPr>
          <w:sz w:val="28"/>
          <w:szCs w:val="28"/>
        </w:rPr>
        <w:t>-го полугодия 201</w:t>
      </w:r>
      <w:r>
        <w:rPr>
          <w:sz w:val="28"/>
          <w:szCs w:val="28"/>
        </w:rPr>
        <w:t>5</w:t>
      </w:r>
      <w:r w:rsidRPr="00EE0C3C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Pr="00EE0C3C">
        <w:rPr>
          <w:sz w:val="28"/>
          <w:szCs w:val="28"/>
        </w:rPr>
        <w:t>;</w:t>
      </w:r>
    </w:p>
    <w:p w:rsidR="00CB3866" w:rsidRDefault="00CB3866" w:rsidP="006C1C9C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C3C">
        <w:rPr>
          <w:sz w:val="28"/>
          <w:szCs w:val="28"/>
        </w:rPr>
        <w:t xml:space="preserve">- </w:t>
      </w:r>
      <w:r w:rsidRPr="00E077AB">
        <w:rPr>
          <w:sz w:val="28"/>
          <w:szCs w:val="28"/>
          <w:u w:val="single"/>
        </w:rPr>
        <w:t>по ставке оплаты технологических потерь</w:t>
      </w:r>
      <w:r w:rsidRPr="00EE0C3C">
        <w:rPr>
          <w:sz w:val="28"/>
          <w:szCs w:val="28"/>
        </w:rPr>
        <w:t xml:space="preserve"> </w:t>
      </w:r>
      <w:r w:rsidRPr="001E234E">
        <w:rPr>
          <w:b/>
          <w:sz w:val="28"/>
          <w:szCs w:val="28"/>
        </w:rPr>
        <w:t xml:space="preserve">0,03 </w:t>
      </w:r>
      <w:r w:rsidRPr="00EE0C3C">
        <w:rPr>
          <w:b/>
          <w:sz w:val="28"/>
          <w:szCs w:val="28"/>
        </w:rPr>
        <w:t>руб./</w:t>
      </w:r>
      <w:r>
        <w:rPr>
          <w:b/>
          <w:sz w:val="28"/>
          <w:szCs w:val="28"/>
        </w:rPr>
        <w:t>к</w:t>
      </w:r>
      <w:r w:rsidRPr="00EE0C3C">
        <w:rPr>
          <w:b/>
          <w:sz w:val="28"/>
          <w:szCs w:val="28"/>
        </w:rPr>
        <w:t>Вт</w:t>
      </w:r>
      <w:r w:rsidRPr="00EE0C3C">
        <w:rPr>
          <w:sz w:val="28"/>
          <w:szCs w:val="28"/>
        </w:rPr>
        <w:t>ч (без НДС</w:t>
      </w:r>
      <w:r>
        <w:rPr>
          <w:sz w:val="28"/>
          <w:szCs w:val="28"/>
        </w:rPr>
        <w:t>) (на уровне аналогичного тарифа 1 полугодия 2015 года).</w:t>
      </w:r>
    </w:p>
    <w:p w:rsidR="00CB3866" w:rsidRDefault="00CB3866" w:rsidP="006C1C9C">
      <w:pPr>
        <w:pStyle w:val="ListParagraph"/>
        <w:autoSpaceDE w:val="0"/>
        <w:autoSpaceDN w:val="0"/>
        <w:adjustRightInd w:val="0"/>
        <w:ind w:left="0" w:firstLine="709"/>
        <w:jc w:val="both"/>
        <w:rPr>
          <w:spacing w:val="-9"/>
          <w:sz w:val="28"/>
          <w:szCs w:val="28"/>
        </w:rPr>
      </w:pPr>
      <w:r w:rsidRPr="00EE0C3C">
        <w:rPr>
          <w:spacing w:val="-9"/>
          <w:sz w:val="28"/>
          <w:szCs w:val="28"/>
        </w:rPr>
        <w:t>Расчетные показатели представлены в приложени</w:t>
      </w:r>
      <w:r>
        <w:rPr>
          <w:spacing w:val="-9"/>
          <w:sz w:val="28"/>
          <w:szCs w:val="28"/>
        </w:rPr>
        <w:t>и</w:t>
      </w:r>
      <w:r w:rsidRPr="00EE0C3C">
        <w:rPr>
          <w:spacing w:val="-9"/>
          <w:sz w:val="28"/>
          <w:szCs w:val="28"/>
        </w:rPr>
        <w:t xml:space="preserve"> № </w:t>
      </w:r>
      <w:r>
        <w:rPr>
          <w:spacing w:val="-9"/>
          <w:sz w:val="28"/>
          <w:szCs w:val="28"/>
        </w:rPr>
        <w:t>1</w:t>
      </w:r>
      <w:r w:rsidRPr="00EE0C3C">
        <w:rPr>
          <w:spacing w:val="-9"/>
          <w:sz w:val="28"/>
          <w:szCs w:val="28"/>
        </w:rPr>
        <w:t>.</w:t>
      </w:r>
    </w:p>
    <w:p w:rsidR="00CB3866" w:rsidRPr="00D07284" w:rsidRDefault="00CB3866" w:rsidP="00330D6E">
      <w:pPr>
        <w:ind w:firstLine="709"/>
        <w:jc w:val="both"/>
        <w:rPr>
          <w:sz w:val="28"/>
          <w:szCs w:val="28"/>
        </w:rPr>
      </w:pPr>
      <w:r w:rsidRPr="003B1A85">
        <w:rPr>
          <w:spacing w:val="-9"/>
          <w:sz w:val="29"/>
          <w:szCs w:val="29"/>
        </w:rPr>
        <w:t>Расчетные показатели сведены в приложени</w:t>
      </w:r>
      <w:r>
        <w:rPr>
          <w:spacing w:val="-9"/>
          <w:sz w:val="29"/>
          <w:szCs w:val="29"/>
        </w:rPr>
        <w:t>и № 6.</w:t>
      </w:r>
    </w:p>
    <w:p w:rsidR="00CB3866" w:rsidRDefault="00CB3866" w:rsidP="00330D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866" w:rsidRPr="008A310C" w:rsidRDefault="00CB3866" w:rsidP="00330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C">
        <w:rPr>
          <w:sz w:val="28"/>
          <w:szCs w:val="28"/>
        </w:rPr>
        <w:t>Приложения:</w:t>
      </w:r>
    </w:p>
    <w:p w:rsidR="00CB3866" w:rsidRPr="008A310C" w:rsidRDefault="00CB3866" w:rsidP="00330D6E">
      <w:pPr>
        <w:pStyle w:val="BodyText2"/>
        <w:ind w:firstLine="720"/>
        <w:rPr>
          <w:i w:val="0"/>
          <w:spacing w:val="-1"/>
          <w:szCs w:val="28"/>
        </w:rPr>
      </w:pPr>
      <w:r w:rsidRPr="008A310C">
        <w:rPr>
          <w:i w:val="0"/>
          <w:spacing w:val="-1"/>
          <w:szCs w:val="28"/>
        </w:rPr>
        <w:t>1. Баланс электрической энергии по сетям ВН, СН-</w:t>
      </w:r>
      <w:r w:rsidRPr="008A310C">
        <w:rPr>
          <w:i w:val="0"/>
          <w:spacing w:val="-1"/>
          <w:szCs w:val="28"/>
          <w:lang w:val="en-US"/>
        </w:rPr>
        <w:t>I</w:t>
      </w:r>
      <w:r w:rsidRPr="008A310C">
        <w:rPr>
          <w:i w:val="0"/>
          <w:spacing w:val="-1"/>
          <w:szCs w:val="28"/>
        </w:rPr>
        <w:t>, СН-</w:t>
      </w:r>
      <w:r w:rsidRPr="008A310C">
        <w:rPr>
          <w:i w:val="0"/>
          <w:spacing w:val="-1"/>
          <w:szCs w:val="28"/>
          <w:lang w:val="en-US"/>
        </w:rPr>
        <w:t>II</w:t>
      </w:r>
      <w:r w:rsidRPr="008A310C">
        <w:rPr>
          <w:i w:val="0"/>
          <w:spacing w:val="-1"/>
          <w:szCs w:val="28"/>
        </w:rPr>
        <w:t xml:space="preserve"> и НН </w:t>
      </w:r>
      <w:r w:rsidRPr="008A310C">
        <w:rPr>
          <w:i w:val="0"/>
          <w:szCs w:val="28"/>
        </w:rPr>
        <w:t xml:space="preserve">МУП </w:t>
      </w:r>
      <w:r w:rsidRPr="00BA6B4A">
        <w:rPr>
          <w:i w:val="0"/>
          <w:szCs w:val="28"/>
        </w:rPr>
        <w:t>ОАО «</w:t>
      </w:r>
      <w:r>
        <w:rPr>
          <w:i w:val="0"/>
          <w:szCs w:val="28"/>
        </w:rPr>
        <w:t>АЗХО</w:t>
      </w:r>
      <w:r w:rsidRPr="00BA6B4A">
        <w:rPr>
          <w:i w:val="0"/>
          <w:szCs w:val="28"/>
        </w:rPr>
        <w:t>»</w:t>
      </w:r>
      <w:r w:rsidRPr="008A310C">
        <w:rPr>
          <w:i w:val="0"/>
          <w:szCs w:val="28"/>
        </w:rPr>
        <w:t xml:space="preserve"> </w:t>
      </w:r>
      <w:r w:rsidRPr="008A310C">
        <w:rPr>
          <w:i w:val="0"/>
          <w:spacing w:val="-1"/>
          <w:szCs w:val="28"/>
        </w:rPr>
        <w:t xml:space="preserve">- на </w:t>
      </w:r>
      <w:r>
        <w:rPr>
          <w:i w:val="0"/>
          <w:spacing w:val="-1"/>
          <w:szCs w:val="28"/>
        </w:rPr>
        <w:t>1</w:t>
      </w:r>
      <w:r w:rsidRPr="008A310C">
        <w:rPr>
          <w:i w:val="0"/>
          <w:spacing w:val="-1"/>
          <w:szCs w:val="28"/>
        </w:rPr>
        <w:t xml:space="preserve"> л.</w:t>
      </w:r>
    </w:p>
    <w:p w:rsidR="00CB3866" w:rsidRPr="008A310C" w:rsidRDefault="00CB3866" w:rsidP="00330D6E">
      <w:pPr>
        <w:pStyle w:val="BodyText2"/>
        <w:ind w:firstLine="720"/>
        <w:rPr>
          <w:i w:val="0"/>
          <w:spacing w:val="-1"/>
          <w:szCs w:val="28"/>
        </w:rPr>
      </w:pPr>
      <w:r w:rsidRPr="008A310C">
        <w:rPr>
          <w:i w:val="0"/>
          <w:spacing w:val="-1"/>
          <w:szCs w:val="28"/>
        </w:rPr>
        <w:t>2. Баланс электрической мощности по сетям  ВН, СН-</w:t>
      </w:r>
      <w:r w:rsidRPr="008A310C">
        <w:rPr>
          <w:i w:val="0"/>
          <w:spacing w:val="-1"/>
          <w:szCs w:val="28"/>
          <w:lang w:val="en-US"/>
        </w:rPr>
        <w:t>I</w:t>
      </w:r>
      <w:r w:rsidRPr="008A310C">
        <w:rPr>
          <w:i w:val="0"/>
          <w:spacing w:val="-1"/>
          <w:szCs w:val="28"/>
        </w:rPr>
        <w:t>, СН-</w:t>
      </w:r>
      <w:r w:rsidRPr="008A310C">
        <w:rPr>
          <w:i w:val="0"/>
          <w:spacing w:val="-1"/>
          <w:szCs w:val="28"/>
          <w:lang w:val="en-US"/>
        </w:rPr>
        <w:t>II</w:t>
      </w:r>
      <w:r w:rsidRPr="008A310C">
        <w:rPr>
          <w:i w:val="0"/>
          <w:spacing w:val="-1"/>
          <w:szCs w:val="28"/>
        </w:rPr>
        <w:t xml:space="preserve"> и НН </w:t>
      </w:r>
      <w:r w:rsidRPr="00BA6B4A">
        <w:rPr>
          <w:i w:val="0"/>
          <w:szCs w:val="28"/>
        </w:rPr>
        <w:t>ОАО «</w:t>
      </w:r>
      <w:r>
        <w:rPr>
          <w:i w:val="0"/>
          <w:szCs w:val="28"/>
        </w:rPr>
        <w:t>АЗХО</w:t>
      </w:r>
      <w:r w:rsidRPr="00BA6B4A">
        <w:rPr>
          <w:i w:val="0"/>
          <w:szCs w:val="28"/>
        </w:rPr>
        <w:t>»</w:t>
      </w:r>
      <w:r>
        <w:rPr>
          <w:i w:val="0"/>
          <w:szCs w:val="28"/>
        </w:rPr>
        <w:t xml:space="preserve"> </w:t>
      </w:r>
      <w:r w:rsidRPr="008A310C">
        <w:rPr>
          <w:i w:val="0"/>
          <w:spacing w:val="-1"/>
          <w:szCs w:val="28"/>
        </w:rPr>
        <w:t xml:space="preserve">- на </w:t>
      </w:r>
      <w:r>
        <w:rPr>
          <w:i w:val="0"/>
          <w:spacing w:val="-1"/>
          <w:szCs w:val="28"/>
        </w:rPr>
        <w:t>1</w:t>
      </w:r>
      <w:r w:rsidRPr="008A310C">
        <w:rPr>
          <w:i w:val="0"/>
          <w:spacing w:val="-1"/>
          <w:szCs w:val="28"/>
        </w:rPr>
        <w:t xml:space="preserve"> л.</w:t>
      </w:r>
    </w:p>
    <w:p w:rsidR="00CB3866" w:rsidRPr="008A310C" w:rsidRDefault="00CB3866" w:rsidP="00330D6E">
      <w:pPr>
        <w:pStyle w:val="BodyTextIndent"/>
        <w:ind w:firstLine="720"/>
        <w:jc w:val="both"/>
        <w:rPr>
          <w:spacing w:val="-1"/>
          <w:szCs w:val="28"/>
        </w:rPr>
      </w:pPr>
      <w:r w:rsidRPr="008A310C">
        <w:rPr>
          <w:spacing w:val="-1"/>
          <w:szCs w:val="28"/>
        </w:rPr>
        <w:t xml:space="preserve">3. Расчет необходимой валовой выручки </w:t>
      </w:r>
      <w:r w:rsidRPr="00BA6B4A">
        <w:rPr>
          <w:szCs w:val="28"/>
        </w:rPr>
        <w:t>ОАО «</w:t>
      </w:r>
      <w:r>
        <w:rPr>
          <w:szCs w:val="28"/>
        </w:rPr>
        <w:t>АЗХО</w:t>
      </w:r>
      <w:r w:rsidRPr="00BA6B4A">
        <w:rPr>
          <w:szCs w:val="28"/>
        </w:rPr>
        <w:t>»</w:t>
      </w:r>
      <w:r w:rsidRPr="008A310C">
        <w:rPr>
          <w:spacing w:val="-1"/>
          <w:szCs w:val="28"/>
        </w:rPr>
        <w:t xml:space="preserve"> </w:t>
      </w:r>
      <w:r>
        <w:rPr>
          <w:szCs w:val="28"/>
        </w:rPr>
        <w:t>на период регулирования с 01.01.2015 по 31.12.2015–</w:t>
      </w:r>
      <w:r w:rsidRPr="008A310C">
        <w:rPr>
          <w:szCs w:val="28"/>
        </w:rPr>
        <w:t xml:space="preserve"> </w:t>
      </w:r>
      <w:r w:rsidRPr="008A310C">
        <w:rPr>
          <w:spacing w:val="-1"/>
          <w:szCs w:val="28"/>
        </w:rPr>
        <w:t>- на 2 л.</w:t>
      </w:r>
    </w:p>
    <w:p w:rsidR="00CB3866" w:rsidRPr="008A310C" w:rsidRDefault="00CB3866" w:rsidP="00330D6E">
      <w:pPr>
        <w:pStyle w:val="BodyText2"/>
        <w:ind w:firstLine="720"/>
        <w:rPr>
          <w:i w:val="0"/>
          <w:spacing w:val="-1"/>
          <w:szCs w:val="28"/>
        </w:rPr>
      </w:pPr>
      <w:r w:rsidRPr="008A310C">
        <w:rPr>
          <w:i w:val="0"/>
          <w:spacing w:val="-1"/>
          <w:szCs w:val="28"/>
        </w:rPr>
        <w:t xml:space="preserve">4. Расчет тарифа покупки потерь для каждой сетевой организации (S), входящей в состав потребителей 4 группы, гарантирующего поставщика </w:t>
      </w:r>
      <w:r w:rsidRPr="008A310C">
        <w:rPr>
          <w:i w:val="0"/>
          <w:szCs w:val="28"/>
        </w:rPr>
        <w:t>ОАО «Астраханская энергосбытовая компания»</w:t>
      </w:r>
      <w:r w:rsidRPr="008A310C">
        <w:rPr>
          <w:i w:val="0"/>
          <w:spacing w:val="-1"/>
          <w:szCs w:val="28"/>
        </w:rPr>
        <w:t xml:space="preserve"> – на 1 л. </w:t>
      </w:r>
    </w:p>
    <w:p w:rsidR="00CB3866" w:rsidRDefault="00CB3866" w:rsidP="00330D6E">
      <w:pPr>
        <w:pStyle w:val="BodyText2"/>
        <w:ind w:firstLine="720"/>
        <w:rPr>
          <w:i w:val="0"/>
          <w:spacing w:val="-1"/>
          <w:szCs w:val="28"/>
        </w:rPr>
      </w:pPr>
      <w:r w:rsidRPr="008A310C">
        <w:rPr>
          <w:i w:val="0"/>
          <w:spacing w:val="-1"/>
          <w:szCs w:val="28"/>
        </w:rPr>
        <w:t xml:space="preserve">5. Объем условных единиц для распределения суммы тарифной выручки </w:t>
      </w:r>
      <w:r w:rsidRPr="00BA6B4A">
        <w:rPr>
          <w:i w:val="0"/>
          <w:szCs w:val="28"/>
        </w:rPr>
        <w:t>ОАО «</w:t>
      </w:r>
      <w:r>
        <w:rPr>
          <w:i w:val="0"/>
          <w:szCs w:val="28"/>
        </w:rPr>
        <w:t>АЗХО</w:t>
      </w:r>
      <w:r w:rsidRPr="00BA6B4A">
        <w:rPr>
          <w:i w:val="0"/>
          <w:szCs w:val="28"/>
        </w:rPr>
        <w:t>»</w:t>
      </w:r>
      <w:r w:rsidRPr="008A310C">
        <w:rPr>
          <w:i w:val="0"/>
          <w:spacing w:val="-1"/>
          <w:szCs w:val="28"/>
        </w:rPr>
        <w:t xml:space="preserve"> – на </w:t>
      </w:r>
      <w:r>
        <w:rPr>
          <w:i w:val="0"/>
          <w:spacing w:val="-1"/>
          <w:szCs w:val="28"/>
        </w:rPr>
        <w:t>5</w:t>
      </w:r>
      <w:r w:rsidRPr="008A310C">
        <w:rPr>
          <w:i w:val="0"/>
          <w:spacing w:val="-1"/>
          <w:szCs w:val="28"/>
        </w:rPr>
        <w:t xml:space="preserve"> л.</w:t>
      </w:r>
    </w:p>
    <w:p w:rsidR="00CB3866" w:rsidRDefault="00CB3866" w:rsidP="00330D6E">
      <w:pPr>
        <w:pStyle w:val="BodyText2"/>
        <w:ind w:firstLine="720"/>
        <w:rPr>
          <w:i w:val="0"/>
          <w:spacing w:val="-1"/>
          <w:szCs w:val="28"/>
        </w:rPr>
      </w:pPr>
      <w:r>
        <w:rPr>
          <w:i w:val="0"/>
          <w:spacing w:val="-1"/>
          <w:szCs w:val="28"/>
        </w:rPr>
        <w:t>6.</w:t>
      </w:r>
      <w:r w:rsidRPr="00E077AB">
        <w:rPr>
          <w:i w:val="0"/>
          <w:spacing w:val="-1"/>
          <w:szCs w:val="28"/>
        </w:rPr>
        <w:t xml:space="preserve"> Индивидуальные тарифы на услуги по передаче электрической энергии для взаимо расчетов между ОАО «АЗХО» (ОГРН 102300854293) и филиалом ОАО «МРСК Юга» - «Астраханьэнерго» - на 1 л.</w:t>
      </w:r>
      <w:r>
        <w:rPr>
          <w:i w:val="0"/>
          <w:spacing w:val="-1"/>
          <w:szCs w:val="28"/>
        </w:rPr>
        <w:t>;</w:t>
      </w:r>
    </w:p>
    <w:p w:rsidR="00CB3866" w:rsidRPr="00E077AB" w:rsidRDefault="00CB3866" w:rsidP="00E077AB">
      <w:pPr>
        <w:pStyle w:val="BodyText2"/>
        <w:ind w:firstLine="720"/>
        <w:rPr>
          <w:i w:val="0"/>
          <w:spacing w:val="-1"/>
          <w:szCs w:val="28"/>
        </w:rPr>
      </w:pPr>
      <w:r>
        <w:rPr>
          <w:i w:val="0"/>
          <w:spacing w:val="-1"/>
          <w:szCs w:val="28"/>
        </w:rPr>
        <w:t>7</w:t>
      </w:r>
      <w:r w:rsidRPr="00E077AB">
        <w:rPr>
          <w:i w:val="0"/>
          <w:spacing w:val="-1"/>
          <w:szCs w:val="28"/>
        </w:rPr>
        <w:t>. Долгосрочные параметры регулирования для ОАО «АЗХО (ОГРН 102300854293),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– на 1 л.;</w:t>
      </w:r>
    </w:p>
    <w:p w:rsidR="00CB3866" w:rsidRPr="00A03571" w:rsidRDefault="00CB3866" w:rsidP="00A03571">
      <w:pPr>
        <w:pStyle w:val="BodyText2"/>
        <w:ind w:firstLine="720"/>
        <w:rPr>
          <w:i w:val="0"/>
          <w:spacing w:val="-1"/>
          <w:szCs w:val="28"/>
        </w:rPr>
      </w:pPr>
      <w:r w:rsidRPr="00A03571">
        <w:rPr>
          <w:i w:val="0"/>
          <w:spacing w:val="-1"/>
          <w:szCs w:val="28"/>
        </w:rPr>
        <w:t xml:space="preserve">8. Пояснительная записка к распоряжению службы по тарифам Астраханской области об установлении базового уровня операционных (подконтрольных) расходов ОАО «АЗХО», осуществляющего регулируемую деятельность в сфере оказания услуг по передаче электрической энергии </w:t>
      </w:r>
    </w:p>
    <w:p w:rsidR="00CB3866" w:rsidRDefault="00CB3866" w:rsidP="00095181">
      <w:pPr>
        <w:pStyle w:val="BodyText"/>
        <w:ind w:firstLine="720"/>
        <w:jc w:val="both"/>
        <w:rPr>
          <w:spacing w:val="-1"/>
          <w:szCs w:val="28"/>
        </w:rPr>
      </w:pPr>
    </w:p>
    <w:p w:rsidR="00CB3866" w:rsidRDefault="00CB3866" w:rsidP="00330D6E">
      <w:pPr>
        <w:pStyle w:val="BodyText"/>
        <w:ind w:firstLine="720"/>
        <w:jc w:val="both"/>
        <w:rPr>
          <w:spacing w:val="-1"/>
          <w:szCs w:val="28"/>
        </w:rPr>
      </w:pPr>
    </w:p>
    <w:p w:rsidR="00CB3866" w:rsidRPr="00D07284" w:rsidRDefault="00CB3866" w:rsidP="00330D6E">
      <w:pPr>
        <w:pStyle w:val="BodyText"/>
        <w:ind w:firstLine="720"/>
        <w:jc w:val="both"/>
        <w:rPr>
          <w:spacing w:val="-1"/>
          <w:szCs w:val="28"/>
        </w:rPr>
      </w:pPr>
    </w:p>
    <w:p w:rsidR="00CB3866" w:rsidRPr="00D07284" w:rsidRDefault="00CB3866" w:rsidP="00330D6E">
      <w:pPr>
        <w:pStyle w:val="BodyText"/>
        <w:ind w:firstLine="720"/>
        <w:jc w:val="both"/>
        <w:rPr>
          <w:spacing w:val="-1"/>
          <w:szCs w:val="28"/>
        </w:rPr>
      </w:pPr>
      <w:r w:rsidRPr="00D07284">
        <w:rPr>
          <w:spacing w:val="-1"/>
          <w:szCs w:val="28"/>
        </w:rPr>
        <w:t>Члены экспертной группы:</w:t>
      </w:r>
    </w:p>
    <w:tbl>
      <w:tblPr>
        <w:tblW w:w="9464" w:type="dxa"/>
        <w:tblLook w:val="00A0"/>
      </w:tblPr>
      <w:tblGrid>
        <w:gridCol w:w="6345"/>
        <w:gridCol w:w="3119"/>
      </w:tblGrid>
      <w:tr w:rsidR="00CB3866" w:rsidRPr="00D07284" w:rsidTr="00342A0D">
        <w:tc>
          <w:tcPr>
            <w:tcW w:w="6345" w:type="dxa"/>
          </w:tcPr>
          <w:p w:rsidR="00CB3866" w:rsidRPr="00342A0D" w:rsidRDefault="00CB3866" w:rsidP="00342A0D">
            <w:pPr>
              <w:pStyle w:val="BodyText2"/>
              <w:jc w:val="left"/>
              <w:rPr>
                <w:i w:val="0"/>
                <w:szCs w:val="28"/>
              </w:rPr>
            </w:pPr>
          </w:p>
        </w:tc>
        <w:tc>
          <w:tcPr>
            <w:tcW w:w="3119" w:type="dxa"/>
          </w:tcPr>
          <w:p w:rsidR="00CB3866" w:rsidRPr="00342A0D" w:rsidRDefault="00CB3866" w:rsidP="00342A0D">
            <w:pPr>
              <w:pStyle w:val="BodyText2"/>
              <w:jc w:val="right"/>
              <w:rPr>
                <w:i w:val="0"/>
                <w:szCs w:val="28"/>
              </w:rPr>
            </w:pPr>
          </w:p>
        </w:tc>
      </w:tr>
      <w:tr w:rsidR="00CB3866" w:rsidRPr="00D07284" w:rsidTr="00342A0D">
        <w:tc>
          <w:tcPr>
            <w:tcW w:w="6345" w:type="dxa"/>
          </w:tcPr>
          <w:p w:rsidR="00CB3866" w:rsidRPr="00342A0D" w:rsidRDefault="00CB3866" w:rsidP="00342A0D">
            <w:pPr>
              <w:pStyle w:val="BodyText2"/>
              <w:jc w:val="left"/>
              <w:rPr>
                <w:i w:val="0"/>
                <w:szCs w:val="28"/>
              </w:rPr>
            </w:pPr>
          </w:p>
        </w:tc>
        <w:tc>
          <w:tcPr>
            <w:tcW w:w="3119" w:type="dxa"/>
          </w:tcPr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</w:p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  <w:r w:rsidRPr="00342A0D">
              <w:rPr>
                <w:sz w:val="28"/>
                <w:szCs w:val="28"/>
              </w:rPr>
              <w:t>А.А. Свиридов</w:t>
            </w:r>
          </w:p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3866" w:rsidRPr="00D07284" w:rsidTr="00342A0D">
        <w:tc>
          <w:tcPr>
            <w:tcW w:w="6345" w:type="dxa"/>
          </w:tcPr>
          <w:p w:rsidR="00CB3866" w:rsidRPr="00342A0D" w:rsidRDefault="00CB3866" w:rsidP="00342A0D">
            <w:pPr>
              <w:pStyle w:val="BodyText2"/>
              <w:jc w:val="left"/>
              <w:rPr>
                <w:i w:val="0"/>
                <w:szCs w:val="28"/>
              </w:rPr>
            </w:pPr>
          </w:p>
        </w:tc>
        <w:tc>
          <w:tcPr>
            <w:tcW w:w="3119" w:type="dxa"/>
          </w:tcPr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</w:p>
        </w:tc>
      </w:tr>
      <w:tr w:rsidR="00CB3866" w:rsidRPr="00D07284" w:rsidTr="00342A0D">
        <w:tc>
          <w:tcPr>
            <w:tcW w:w="6345" w:type="dxa"/>
          </w:tcPr>
          <w:p w:rsidR="00CB3866" w:rsidRPr="00342A0D" w:rsidRDefault="00CB3866" w:rsidP="00342A0D">
            <w:pPr>
              <w:pStyle w:val="BodyText2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  <w:r w:rsidRPr="00342A0D">
              <w:rPr>
                <w:sz w:val="28"/>
                <w:szCs w:val="28"/>
              </w:rPr>
              <w:t>С.А. Мулакаева</w:t>
            </w:r>
          </w:p>
          <w:p w:rsidR="00CB3866" w:rsidRPr="00342A0D" w:rsidRDefault="00CB3866" w:rsidP="00342A0D">
            <w:pPr>
              <w:pStyle w:val="BodyText2"/>
              <w:jc w:val="right"/>
              <w:rPr>
                <w:i w:val="0"/>
                <w:szCs w:val="28"/>
              </w:rPr>
            </w:pPr>
          </w:p>
        </w:tc>
      </w:tr>
      <w:tr w:rsidR="00CB3866" w:rsidRPr="00D07284" w:rsidTr="00342A0D">
        <w:tc>
          <w:tcPr>
            <w:tcW w:w="6345" w:type="dxa"/>
          </w:tcPr>
          <w:p w:rsidR="00CB3866" w:rsidRPr="00342A0D" w:rsidRDefault="00CB3866" w:rsidP="00342A0D">
            <w:pPr>
              <w:pStyle w:val="BodyText2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:rsidR="00CB3866" w:rsidRPr="00342A0D" w:rsidRDefault="00CB3866" w:rsidP="00342A0D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866" w:rsidRPr="000D0863" w:rsidRDefault="00CB3866" w:rsidP="000D08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B3866" w:rsidRPr="000D0863" w:rsidSect="00EE0C3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66" w:rsidRDefault="00CB3866">
      <w:r>
        <w:separator/>
      </w:r>
    </w:p>
  </w:endnote>
  <w:endnote w:type="continuationSeparator" w:id="0">
    <w:p w:rsidR="00CB3866" w:rsidRDefault="00CB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66" w:rsidRDefault="00CB3866">
      <w:r>
        <w:separator/>
      </w:r>
    </w:p>
  </w:footnote>
  <w:footnote w:type="continuationSeparator" w:id="0">
    <w:p w:rsidR="00CB3866" w:rsidRDefault="00CB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66" w:rsidRDefault="00CB38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866" w:rsidRDefault="00CB3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66" w:rsidRDefault="00CB38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B3866" w:rsidRDefault="00CB3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931"/>
    <w:multiLevelType w:val="singleLevel"/>
    <w:tmpl w:val="233CF72C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02A94DA1"/>
    <w:multiLevelType w:val="hybridMultilevel"/>
    <w:tmpl w:val="1C809C14"/>
    <w:lvl w:ilvl="0" w:tplc="28E655C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38834AD"/>
    <w:multiLevelType w:val="multilevel"/>
    <w:tmpl w:val="069629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124A83"/>
    <w:multiLevelType w:val="multilevel"/>
    <w:tmpl w:val="FFD8AD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4">
    <w:nsid w:val="05001346"/>
    <w:multiLevelType w:val="singleLevel"/>
    <w:tmpl w:val="FD8228EA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effect w:val="none"/>
      </w:rPr>
    </w:lvl>
  </w:abstractNum>
  <w:abstractNum w:abstractNumId="5">
    <w:nsid w:val="064F2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6EB1042"/>
    <w:multiLevelType w:val="hybridMultilevel"/>
    <w:tmpl w:val="F90031AA"/>
    <w:lvl w:ilvl="0" w:tplc="F27887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4F16F9"/>
    <w:multiLevelType w:val="hybridMultilevel"/>
    <w:tmpl w:val="DFFEA41A"/>
    <w:lvl w:ilvl="0" w:tplc="4A6A1C94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AD00F51"/>
    <w:multiLevelType w:val="singleLevel"/>
    <w:tmpl w:val="233CF72C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0B405A18"/>
    <w:multiLevelType w:val="multilevel"/>
    <w:tmpl w:val="069629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FE028A3"/>
    <w:multiLevelType w:val="multilevel"/>
    <w:tmpl w:val="7B26FC26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F52150"/>
    <w:multiLevelType w:val="hybridMultilevel"/>
    <w:tmpl w:val="502653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E45DF"/>
    <w:multiLevelType w:val="multilevel"/>
    <w:tmpl w:val="5A70122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C4241B6"/>
    <w:multiLevelType w:val="hybridMultilevel"/>
    <w:tmpl w:val="00FE53E4"/>
    <w:lvl w:ilvl="0" w:tplc="C1BE26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5C84C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BAB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7CF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120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C8D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09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D60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50C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7B4A96"/>
    <w:multiLevelType w:val="hybridMultilevel"/>
    <w:tmpl w:val="216E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4F55A9"/>
    <w:multiLevelType w:val="multilevel"/>
    <w:tmpl w:val="9D8A3508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2C6864"/>
    <w:multiLevelType w:val="multilevel"/>
    <w:tmpl w:val="347AAA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7">
    <w:nsid w:val="25B95B46"/>
    <w:multiLevelType w:val="multilevel"/>
    <w:tmpl w:val="B4B65B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2FB1531D"/>
    <w:multiLevelType w:val="hybridMultilevel"/>
    <w:tmpl w:val="6C84A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E41ED"/>
    <w:multiLevelType w:val="hybridMultilevel"/>
    <w:tmpl w:val="06962974"/>
    <w:lvl w:ilvl="0" w:tplc="6816A99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6FB6CD0"/>
    <w:multiLevelType w:val="multilevel"/>
    <w:tmpl w:val="56B006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3DD558B6"/>
    <w:multiLevelType w:val="singleLevel"/>
    <w:tmpl w:val="1988B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CB3088"/>
    <w:multiLevelType w:val="hybridMultilevel"/>
    <w:tmpl w:val="DC846C22"/>
    <w:lvl w:ilvl="0" w:tplc="5CAEF32E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6D2DA0"/>
    <w:multiLevelType w:val="hybridMultilevel"/>
    <w:tmpl w:val="0D363CD8"/>
    <w:lvl w:ilvl="0" w:tplc="B56A3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037B88"/>
    <w:multiLevelType w:val="hybridMultilevel"/>
    <w:tmpl w:val="D7AA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220EA"/>
    <w:multiLevelType w:val="multilevel"/>
    <w:tmpl w:val="B4B65B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6">
    <w:nsid w:val="51CD7173"/>
    <w:multiLevelType w:val="hybridMultilevel"/>
    <w:tmpl w:val="7B26FC26"/>
    <w:lvl w:ilvl="0" w:tplc="488223A2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7">
    <w:nsid w:val="529A31E7"/>
    <w:multiLevelType w:val="hybridMultilevel"/>
    <w:tmpl w:val="6C78B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76A6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539142C"/>
    <w:multiLevelType w:val="multilevel"/>
    <w:tmpl w:val="293E7D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>
    <w:nsid w:val="654006ED"/>
    <w:multiLevelType w:val="hybridMultilevel"/>
    <w:tmpl w:val="8F228E4A"/>
    <w:lvl w:ilvl="0" w:tplc="0C2C499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>
    <w:nsid w:val="657A4CBC"/>
    <w:multiLevelType w:val="multilevel"/>
    <w:tmpl w:val="103E861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65BE6F29"/>
    <w:multiLevelType w:val="hybridMultilevel"/>
    <w:tmpl w:val="1938DBC8"/>
    <w:lvl w:ilvl="0" w:tplc="F362BA9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5776B7"/>
    <w:multiLevelType w:val="hybridMultilevel"/>
    <w:tmpl w:val="9D8A3508"/>
    <w:lvl w:ilvl="0" w:tplc="FDBA89E6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FC7EE0"/>
    <w:multiLevelType w:val="singleLevel"/>
    <w:tmpl w:val="1474EC82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5">
    <w:nsid w:val="688B6CB5"/>
    <w:multiLevelType w:val="multilevel"/>
    <w:tmpl w:val="9D8A3508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382879"/>
    <w:multiLevelType w:val="multilevel"/>
    <w:tmpl w:val="D0725BB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F5A194E"/>
    <w:multiLevelType w:val="singleLevel"/>
    <w:tmpl w:val="59E4E36A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effect w:val="sparkle"/>
      </w:rPr>
    </w:lvl>
  </w:abstractNum>
  <w:abstractNum w:abstractNumId="38">
    <w:nsid w:val="6F9F6550"/>
    <w:multiLevelType w:val="multilevel"/>
    <w:tmpl w:val="B4B65B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9">
    <w:nsid w:val="78B45295"/>
    <w:multiLevelType w:val="singleLevel"/>
    <w:tmpl w:val="1474EC82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0">
    <w:nsid w:val="7951717A"/>
    <w:multiLevelType w:val="multilevel"/>
    <w:tmpl w:val="6DFE00FA"/>
    <w:lvl w:ilvl="0">
      <w:start w:val="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1">
    <w:nsid w:val="7B891593"/>
    <w:multiLevelType w:val="multilevel"/>
    <w:tmpl w:val="D25A4B6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0"/>
  </w:num>
  <w:num w:numId="5">
    <w:abstractNumId w:val="37"/>
  </w:num>
  <w:num w:numId="6">
    <w:abstractNumId w:val="4"/>
  </w:num>
  <w:num w:numId="7">
    <w:abstractNumId w:val="8"/>
  </w:num>
  <w:num w:numId="8">
    <w:abstractNumId w:val="5"/>
  </w:num>
  <w:num w:numId="9">
    <w:abstractNumId w:val="28"/>
  </w:num>
  <w:num w:numId="10">
    <w:abstractNumId w:val="31"/>
  </w:num>
  <w:num w:numId="11">
    <w:abstractNumId w:val="29"/>
  </w:num>
  <w:num w:numId="12">
    <w:abstractNumId w:val="25"/>
  </w:num>
  <w:num w:numId="13">
    <w:abstractNumId w:val="20"/>
  </w:num>
  <w:num w:numId="14">
    <w:abstractNumId w:val="13"/>
  </w:num>
  <w:num w:numId="15">
    <w:abstractNumId w:val="32"/>
  </w:num>
  <w:num w:numId="16">
    <w:abstractNumId w:val="40"/>
  </w:num>
  <w:num w:numId="17">
    <w:abstractNumId w:val="11"/>
  </w:num>
  <w:num w:numId="18">
    <w:abstractNumId w:val="17"/>
  </w:num>
  <w:num w:numId="19">
    <w:abstractNumId w:val="38"/>
  </w:num>
  <w:num w:numId="20">
    <w:abstractNumId w:val="7"/>
  </w:num>
  <w:num w:numId="21">
    <w:abstractNumId w:val="1"/>
  </w:num>
  <w:num w:numId="22">
    <w:abstractNumId w:val="12"/>
  </w:num>
  <w:num w:numId="23">
    <w:abstractNumId w:val="3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3"/>
  </w:num>
  <w:num w:numId="28">
    <w:abstractNumId w:val="35"/>
  </w:num>
  <w:num w:numId="29">
    <w:abstractNumId w:val="27"/>
  </w:num>
  <w:num w:numId="30">
    <w:abstractNumId w:val="10"/>
  </w:num>
  <w:num w:numId="31">
    <w:abstractNumId w:val="26"/>
  </w:num>
  <w:num w:numId="32">
    <w:abstractNumId w:val="18"/>
  </w:num>
  <w:num w:numId="33">
    <w:abstractNumId w:val="24"/>
  </w:num>
  <w:num w:numId="34">
    <w:abstractNumId w:val="19"/>
  </w:num>
  <w:num w:numId="35">
    <w:abstractNumId w:val="9"/>
  </w:num>
  <w:num w:numId="36">
    <w:abstractNumId w:val="2"/>
  </w:num>
  <w:num w:numId="37">
    <w:abstractNumId w:val="16"/>
  </w:num>
  <w:num w:numId="38">
    <w:abstractNumId w:val="22"/>
  </w:num>
  <w:num w:numId="39">
    <w:abstractNumId w:val="14"/>
  </w:num>
  <w:num w:numId="40">
    <w:abstractNumId w:val="41"/>
  </w:num>
  <w:num w:numId="41">
    <w:abstractNumId w:val="3"/>
  </w:num>
  <w:num w:numId="42">
    <w:abstractNumId w:val="6"/>
  </w:num>
  <w:num w:numId="43">
    <w:abstractNumId w:val="3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ED"/>
    <w:rsid w:val="00000D5F"/>
    <w:rsid w:val="0000237C"/>
    <w:rsid w:val="0000267F"/>
    <w:rsid w:val="00002745"/>
    <w:rsid w:val="00003F18"/>
    <w:rsid w:val="000056AF"/>
    <w:rsid w:val="00005F41"/>
    <w:rsid w:val="00012047"/>
    <w:rsid w:val="00012F66"/>
    <w:rsid w:val="00013B6A"/>
    <w:rsid w:val="00016199"/>
    <w:rsid w:val="00017CB5"/>
    <w:rsid w:val="00021B99"/>
    <w:rsid w:val="000230C4"/>
    <w:rsid w:val="0002351C"/>
    <w:rsid w:val="000253EA"/>
    <w:rsid w:val="000266F3"/>
    <w:rsid w:val="000275B0"/>
    <w:rsid w:val="00027B99"/>
    <w:rsid w:val="00027DF4"/>
    <w:rsid w:val="00027E7A"/>
    <w:rsid w:val="00030016"/>
    <w:rsid w:val="00032B19"/>
    <w:rsid w:val="00032D62"/>
    <w:rsid w:val="00032DFE"/>
    <w:rsid w:val="00033414"/>
    <w:rsid w:val="0003341A"/>
    <w:rsid w:val="00033C6F"/>
    <w:rsid w:val="00033EDB"/>
    <w:rsid w:val="000378A8"/>
    <w:rsid w:val="00041291"/>
    <w:rsid w:val="00041DE8"/>
    <w:rsid w:val="00042671"/>
    <w:rsid w:val="00042FCD"/>
    <w:rsid w:val="00043674"/>
    <w:rsid w:val="00044016"/>
    <w:rsid w:val="000448AF"/>
    <w:rsid w:val="00046066"/>
    <w:rsid w:val="000472AE"/>
    <w:rsid w:val="000476F6"/>
    <w:rsid w:val="00047814"/>
    <w:rsid w:val="00047DE5"/>
    <w:rsid w:val="00047F40"/>
    <w:rsid w:val="000503F1"/>
    <w:rsid w:val="0005236D"/>
    <w:rsid w:val="00052619"/>
    <w:rsid w:val="0005395C"/>
    <w:rsid w:val="0005437E"/>
    <w:rsid w:val="0005450B"/>
    <w:rsid w:val="00054528"/>
    <w:rsid w:val="000569B7"/>
    <w:rsid w:val="000600A4"/>
    <w:rsid w:val="00064B4C"/>
    <w:rsid w:val="000665A4"/>
    <w:rsid w:val="00066701"/>
    <w:rsid w:val="00066D4B"/>
    <w:rsid w:val="00071F6D"/>
    <w:rsid w:val="00071FD4"/>
    <w:rsid w:val="000735FC"/>
    <w:rsid w:val="0007365E"/>
    <w:rsid w:val="000763DA"/>
    <w:rsid w:val="00076DE6"/>
    <w:rsid w:val="00084A58"/>
    <w:rsid w:val="00085771"/>
    <w:rsid w:val="0008577C"/>
    <w:rsid w:val="00086BF8"/>
    <w:rsid w:val="00086DD6"/>
    <w:rsid w:val="00086DE0"/>
    <w:rsid w:val="000876FD"/>
    <w:rsid w:val="00090774"/>
    <w:rsid w:val="00094D21"/>
    <w:rsid w:val="00095181"/>
    <w:rsid w:val="0009570B"/>
    <w:rsid w:val="00096E9E"/>
    <w:rsid w:val="00097AF0"/>
    <w:rsid w:val="000A254A"/>
    <w:rsid w:val="000A3D22"/>
    <w:rsid w:val="000A42D9"/>
    <w:rsid w:val="000A4E52"/>
    <w:rsid w:val="000A69AE"/>
    <w:rsid w:val="000A69CA"/>
    <w:rsid w:val="000A78CE"/>
    <w:rsid w:val="000B0FDF"/>
    <w:rsid w:val="000B36B0"/>
    <w:rsid w:val="000B5454"/>
    <w:rsid w:val="000B7697"/>
    <w:rsid w:val="000B7C46"/>
    <w:rsid w:val="000C1E53"/>
    <w:rsid w:val="000C220B"/>
    <w:rsid w:val="000C3572"/>
    <w:rsid w:val="000C408F"/>
    <w:rsid w:val="000C554A"/>
    <w:rsid w:val="000C5DDA"/>
    <w:rsid w:val="000C601B"/>
    <w:rsid w:val="000C6D66"/>
    <w:rsid w:val="000C7EF2"/>
    <w:rsid w:val="000D0262"/>
    <w:rsid w:val="000D0434"/>
    <w:rsid w:val="000D0456"/>
    <w:rsid w:val="000D0863"/>
    <w:rsid w:val="000D0CE7"/>
    <w:rsid w:val="000D2315"/>
    <w:rsid w:val="000D3007"/>
    <w:rsid w:val="000D32CC"/>
    <w:rsid w:val="000D4325"/>
    <w:rsid w:val="000D5420"/>
    <w:rsid w:val="000D6737"/>
    <w:rsid w:val="000E0441"/>
    <w:rsid w:val="000E0E75"/>
    <w:rsid w:val="000E0F68"/>
    <w:rsid w:val="000E0FAF"/>
    <w:rsid w:val="000E1BD0"/>
    <w:rsid w:val="000E250E"/>
    <w:rsid w:val="000E59DD"/>
    <w:rsid w:val="000E6A20"/>
    <w:rsid w:val="000E73F4"/>
    <w:rsid w:val="000E78DC"/>
    <w:rsid w:val="000F0C4E"/>
    <w:rsid w:val="000F0E7B"/>
    <w:rsid w:val="000F1CEF"/>
    <w:rsid w:val="000F2800"/>
    <w:rsid w:val="000F2D72"/>
    <w:rsid w:val="000F373F"/>
    <w:rsid w:val="000F5A4F"/>
    <w:rsid w:val="000F5AA7"/>
    <w:rsid w:val="000F679C"/>
    <w:rsid w:val="000F793E"/>
    <w:rsid w:val="00101F1A"/>
    <w:rsid w:val="00102153"/>
    <w:rsid w:val="00102D97"/>
    <w:rsid w:val="00103667"/>
    <w:rsid w:val="00105388"/>
    <w:rsid w:val="00105EF0"/>
    <w:rsid w:val="0010629C"/>
    <w:rsid w:val="0010648C"/>
    <w:rsid w:val="00107D20"/>
    <w:rsid w:val="00110D4F"/>
    <w:rsid w:val="0011140D"/>
    <w:rsid w:val="00112935"/>
    <w:rsid w:val="00114307"/>
    <w:rsid w:val="0011495E"/>
    <w:rsid w:val="00114F3C"/>
    <w:rsid w:val="001165BD"/>
    <w:rsid w:val="00117051"/>
    <w:rsid w:val="001178B9"/>
    <w:rsid w:val="0011796D"/>
    <w:rsid w:val="00117A43"/>
    <w:rsid w:val="001200DB"/>
    <w:rsid w:val="00121455"/>
    <w:rsid w:val="0012235B"/>
    <w:rsid w:val="00123C8F"/>
    <w:rsid w:val="00124F00"/>
    <w:rsid w:val="0012579E"/>
    <w:rsid w:val="00125BED"/>
    <w:rsid w:val="00127425"/>
    <w:rsid w:val="00127606"/>
    <w:rsid w:val="00130A0B"/>
    <w:rsid w:val="00130B2E"/>
    <w:rsid w:val="00131016"/>
    <w:rsid w:val="001324EF"/>
    <w:rsid w:val="00132529"/>
    <w:rsid w:val="00132760"/>
    <w:rsid w:val="00132A08"/>
    <w:rsid w:val="00133070"/>
    <w:rsid w:val="00133BA7"/>
    <w:rsid w:val="00135054"/>
    <w:rsid w:val="001352D9"/>
    <w:rsid w:val="00135C8D"/>
    <w:rsid w:val="00135E83"/>
    <w:rsid w:val="00136A9E"/>
    <w:rsid w:val="00137A1C"/>
    <w:rsid w:val="00140D93"/>
    <w:rsid w:val="00141FBE"/>
    <w:rsid w:val="00142642"/>
    <w:rsid w:val="00144EA8"/>
    <w:rsid w:val="001452C1"/>
    <w:rsid w:val="001453AC"/>
    <w:rsid w:val="00145EA6"/>
    <w:rsid w:val="001469D2"/>
    <w:rsid w:val="00147453"/>
    <w:rsid w:val="001500D7"/>
    <w:rsid w:val="001514CE"/>
    <w:rsid w:val="001527EA"/>
    <w:rsid w:val="001530C1"/>
    <w:rsid w:val="001546B1"/>
    <w:rsid w:val="001556F0"/>
    <w:rsid w:val="001557EF"/>
    <w:rsid w:val="0015726E"/>
    <w:rsid w:val="00157B9E"/>
    <w:rsid w:val="00160192"/>
    <w:rsid w:val="0016055A"/>
    <w:rsid w:val="00161BCB"/>
    <w:rsid w:val="00161F0D"/>
    <w:rsid w:val="0016328B"/>
    <w:rsid w:val="001632C1"/>
    <w:rsid w:val="001639AD"/>
    <w:rsid w:val="00165ACE"/>
    <w:rsid w:val="00166302"/>
    <w:rsid w:val="00166515"/>
    <w:rsid w:val="00166D9F"/>
    <w:rsid w:val="00167DBB"/>
    <w:rsid w:val="00167E57"/>
    <w:rsid w:val="00170472"/>
    <w:rsid w:val="001738E1"/>
    <w:rsid w:val="00173C2B"/>
    <w:rsid w:val="00176F9B"/>
    <w:rsid w:val="001770DB"/>
    <w:rsid w:val="001774DE"/>
    <w:rsid w:val="00177C36"/>
    <w:rsid w:val="0018044D"/>
    <w:rsid w:val="0018077D"/>
    <w:rsid w:val="00180D4A"/>
    <w:rsid w:val="00181E09"/>
    <w:rsid w:val="00182E49"/>
    <w:rsid w:val="00184279"/>
    <w:rsid w:val="001842E4"/>
    <w:rsid w:val="00184367"/>
    <w:rsid w:val="0018490E"/>
    <w:rsid w:val="001856A6"/>
    <w:rsid w:val="00185C62"/>
    <w:rsid w:val="001875D0"/>
    <w:rsid w:val="001878F5"/>
    <w:rsid w:val="0019162C"/>
    <w:rsid w:val="0019226C"/>
    <w:rsid w:val="0019310E"/>
    <w:rsid w:val="00193546"/>
    <w:rsid w:val="0019356F"/>
    <w:rsid w:val="001935B5"/>
    <w:rsid w:val="00197E3E"/>
    <w:rsid w:val="001A1710"/>
    <w:rsid w:val="001A2667"/>
    <w:rsid w:val="001A2BA7"/>
    <w:rsid w:val="001A3501"/>
    <w:rsid w:val="001A3A87"/>
    <w:rsid w:val="001A4452"/>
    <w:rsid w:val="001A4B4F"/>
    <w:rsid w:val="001A4BD3"/>
    <w:rsid w:val="001A5064"/>
    <w:rsid w:val="001A5C8D"/>
    <w:rsid w:val="001A6924"/>
    <w:rsid w:val="001A6E8B"/>
    <w:rsid w:val="001B1087"/>
    <w:rsid w:val="001B39C0"/>
    <w:rsid w:val="001B4BF3"/>
    <w:rsid w:val="001B551B"/>
    <w:rsid w:val="001B7120"/>
    <w:rsid w:val="001B7375"/>
    <w:rsid w:val="001B7B30"/>
    <w:rsid w:val="001C019C"/>
    <w:rsid w:val="001C0ED4"/>
    <w:rsid w:val="001C2492"/>
    <w:rsid w:val="001C7499"/>
    <w:rsid w:val="001D0924"/>
    <w:rsid w:val="001D0CFB"/>
    <w:rsid w:val="001D10A3"/>
    <w:rsid w:val="001D2507"/>
    <w:rsid w:val="001D3B15"/>
    <w:rsid w:val="001D47AE"/>
    <w:rsid w:val="001D48C2"/>
    <w:rsid w:val="001D5993"/>
    <w:rsid w:val="001D5F2C"/>
    <w:rsid w:val="001D62F6"/>
    <w:rsid w:val="001D66EA"/>
    <w:rsid w:val="001D7683"/>
    <w:rsid w:val="001D7717"/>
    <w:rsid w:val="001E03C5"/>
    <w:rsid w:val="001E1683"/>
    <w:rsid w:val="001E234E"/>
    <w:rsid w:val="001E2614"/>
    <w:rsid w:val="001E2869"/>
    <w:rsid w:val="001E309D"/>
    <w:rsid w:val="001E56EE"/>
    <w:rsid w:val="001E58E8"/>
    <w:rsid w:val="001E65B3"/>
    <w:rsid w:val="001E67E2"/>
    <w:rsid w:val="001E6E9A"/>
    <w:rsid w:val="001E6F65"/>
    <w:rsid w:val="001E7646"/>
    <w:rsid w:val="001E7D4D"/>
    <w:rsid w:val="001F0B97"/>
    <w:rsid w:val="001F3359"/>
    <w:rsid w:val="001F351E"/>
    <w:rsid w:val="001F3559"/>
    <w:rsid w:val="001F4C41"/>
    <w:rsid w:val="001F4CB8"/>
    <w:rsid w:val="001F69C4"/>
    <w:rsid w:val="001F7A95"/>
    <w:rsid w:val="002002BD"/>
    <w:rsid w:val="0020056A"/>
    <w:rsid w:val="00200EB8"/>
    <w:rsid w:val="00201282"/>
    <w:rsid w:val="00202E5D"/>
    <w:rsid w:val="00203F95"/>
    <w:rsid w:val="00204BD3"/>
    <w:rsid w:val="002055D5"/>
    <w:rsid w:val="002077CF"/>
    <w:rsid w:val="00207994"/>
    <w:rsid w:val="00211260"/>
    <w:rsid w:val="0021318A"/>
    <w:rsid w:val="00213600"/>
    <w:rsid w:val="00213727"/>
    <w:rsid w:val="00216BD5"/>
    <w:rsid w:val="00217947"/>
    <w:rsid w:val="00217E30"/>
    <w:rsid w:val="002201C8"/>
    <w:rsid w:val="002215E7"/>
    <w:rsid w:val="00221644"/>
    <w:rsid w:val="00221A96"/>
    <w:rsid w:val="00221F2A"/>
    <w:rsid w:val="0022278A"/>
    <w:rsid w:val="00223E44"/>
    <w:rsid w:val="00224CDC"/>
    <w:rsid w:val="002256B4"/>
    <w:rsid w:val="00225BF4"/>
    <w:rsid w:val="002261DB"/>
    <w:rsid w:val="0022756A"/>
    <w:rsid w:val="002331DA"/>
    <w:rsid w:val="00233D82"/>
    <w:rsid w:val="002342D6"/>
    <w:rsid w:val="00234737"/>
    <w:rsid w:val="002353AB"/>
    <w:rsid w:val="00237FDD"/>
    <w:rsid w:val="0024093E"/>
    <w:rsid w:val="002411F8"/>
    <w:rsid w:val="002412C3"/>
    <w:rsid w:val="00242A23"/>
    <w:rsid w:val="002448D7"/>
    <w:rsid w:val="00244AC3"/>
    <w:rsid w:val="002462F6"/>
    <w:rsid w:val="00247526"/>
    <w:rsid w:val="00250392"/>
    <w:rsid w:val="002506FF"/>
    <w:rsid w:val="00250B40"/>
    <w:rsid w:val="00250B7B"/>
    <w:rsid w:val="002521C6"/>
    <w:rsid w:val="002522CE"/>
    <w:rsid w:val="0025302D"/>
    <w:rsid w:val="00253E3B"/>
    <w:rsid w:val="002557E1"/>
    <w:rsid w:val="00255BEA"/>
    <w:rsid w:val="00255FDE"/>
    <w:rsid w:val="00256857"/>
    <w:rsid w:val="0026039B"/>
    <w:rsid w:val="00265EA3"/>
    <w:rsid w:val="00266B0E"/>
    <w:rsid w:val="002710C0"/>
    <w:rsid w:val="00271D7F"/>
    <w:rsid w:val="002730D0"/>
    <w:rsid w:val="00273530"/>
    <w:rsid w:val="00274071"/>
    <w:rsid w:val="002758B1"/>
    <w:rsid w:val="00276721"/>
    <w:rsid w:val="002770F5"/>
    <w:rsid w:val="0027740C"/>
    <w:rsid w:val="00280F03"/>
    <w:rsid w:val="0028103B"/>
    <w:rsid w:val="002823BD"/>
    <w:rsid w:val="0028291E"/>
    <w:rsid w:val="0028477A"/>
    <w:rsid w:val="00285428"/>
    <w:rsid w:val="00286E3F"/>
    <w:rsid w:val="00286EB0"/>
    <w:rsid w:val="00287531"/>
    <w:rsid w:val="0029199F"/>
    <w:rsid w:val="002931BF"/>
    <w:rsid w:val="00295A00"/>
    <w:rsid w:val="00295AA9"/>
    <w:rsid w:val="002977F3"/>
    <w:rsid w:val="002A0281"/>
    <w:rsid w:val="002A02D2"/>
    <w:rsid w:val="002A073F"/>
    <w:rsid w:val="002A28C4"/>
    <w:rsid w:val="002A652E"/>
    <w:rsid w:val="002A754F"/>
    <w:rsid w:val="002B10B9"/>
    <w:rsid w:val="002B2974"/>
    <w:rsid w:val="002B2A43"/>
    <w:rsid w:val="002B2E7C"/>
    <w:rsid w:val="002B2F4A"/>
    <w:rsid w:val="002B3C2B"/>
    <w:rsid w:val="002B3D1F"/>
    <w:rsid w:val="002B410F"/>
    <w:rsid w:val="002B44AE"/>
    <w:rsid w:val="002B51D1"/>
    <w:rsid w:val="002B5751"/>
    <w:rsid w:val="002B7EF4"/>
    <w:rsid w:val="002C05F3"/>
    <w:rsid w:val="002C0C57"/>
    <w:rsid w:val="002C2347"/>
    <w:rsid w:val="002C29C5"/>
    <w:rsid w:val="002C34D3"/>
    <w:rsid w:val="002C3C51"/>
    <w:rsid w:val="002C50F0"/>
    <w:rsid w:val="002C59B2"/>
    <w:rsid w:val="002C64A3"/>
    <w:rsid w:val="002D0DF8"/>
    <w:rsid w:val="002D1DE2"/>
    <w:rsid w:val="002D2172"/>
    <w:rsid w:val="002D2301"/>
    <w:rsid w:val="002D3C93"/>
    <w:rsid w:val="002D5781"/>
    <w:rsid w:val="002D5D8F"/>
    <w:rsid w:val="002D6187"/>
    <w:rsid w:val="002E028C"/>
    <w:rsid w:val="002E1940"/>
    <w:rsid w:val="002E3B20"/>
    <w:rsid w:val="002E496B"/>
    <w:rsid w:val="002E4A94"/>
    <w:rsid w:val="002E4C39"/>
    <w:rsid w:val="002E52A7"/>
    <w:rsid w:val="002E5398"/>
    <w:rsid w:val="002E67D3"/>
    <w:rsid w:val="002E6BA1"/>
    <w:rsid w:val="002E6CB3"/>
    <w:rsid w:val="002E7A74"/>
    <w:rsid w:val="002F1941"/>
    <w:rsid w:val="002F398F"/>
    <w:rsid w:val="002F3C7C"/>
    <w:rsid w:val="002F3FE2"/>
    <w:rsid w:val="002F4805"/>
    <w:rsid w:val="002F705C"/>
    <w:rsid w:val="002F7D46"/>
    <w:rsid w:val="003007EA"/>
    <w:rsid w:val="003034D1"/>
    <w:rsid w:val="00303813"/>
    <w:rsid w:val="00303AA5"/>
    <w:rsid w:val="0030536E"/>
    <w:rsid w:val="00305996"/>
    <w:rsid w:val="00305DC2"/>
    <w:rsid w:val="00306340"/>
    <w:rsid w:val="00312523"/>
    <w:rsid w:val="00312C52"/>
    <w:rsid w:val="00312E67"/>
    <w:rsid w:val="00313DBC"/>
    <w:rsid w:val="00314139"/>
    <w:rsid w:val="00315258"/>
    <w:rsid w:val="00315BB9"/>
    <w:rsid w:val="003208F6"/>
    <w:rsid w:val="003210A5"/>
    <w:rsid w:val="00321750"/>
    <w:rsid w:val="00321E69"/>
    <w:rsid w:val="003221DF"/>
    <w:rsid w:val="00322A51"/>
    <w:rsid w:val="00323180"/>
    <w:rsid w:val="003240B3"/>
    <w:rsid w:val="00324783"/>
    <w:rsid w:val="003262FD"/>
    <w:rsid w:val="00326ABD"/>
    <w:rsid w:val="003273C2"/>
    <w:rsid w:val="00327588"/>
    <w:rsid w:val="00330845"/>
    <w:rsid w:val="003308D9"/>
    <w:rsid w:val="00330D6E"/>
    <w:rsid w:val="0033105B"/>
    <w:rsid w:val="003318F6"/>
    <w:rsid w:val="00333478"/>
    <w:rsid w:val="00334472"/>
    <w:rsid w:val="00334DA6"/>
    <w:rsid w:val="00335183"/>
    <w:rsid w:val="00335AB4"/>
    <w:rsid w:val="00335AF7"/>
    <w:rsid w:val="00335B9B"/>
    <w:rsid w:val="00335F79"/>
    <w:rsid w:val="00336C91"/>
    <w:rsid w:val="00337461"/>
    <w:rsid w:val="00337F11"/>
    <w:rsid w:val="00342A0D"/>
    <w:rsid w:val="00343A0C"/>
    <w:rsid w:val="0034526F"/>
    <w:rsid w:val="0034588E"/>
    <w:rsid w:val="00345B8D"/>
    <w:rsid w:val="003464D8"/>
    <w:rsid w:val="00346BCD"/>
    <w:rsid w:val="00347082"/>
    <w:rsid w:val="00352846"/>
    <w:rsid w:val="0035318A"/>
    <w:rsid w:val="00354360"/>
    <w:rsid w:val="00354532"/>
    <w:rsid w:val="0035455D"/>
    <w:rsid w:val="00354843"/>
    <w:rsid w:val="003554D9"/>
    <w:rsid w:val="00355687"/>
    <w:rsid w:val="003556FE"/>
    <w:rsid w:val="00360B90"/>
    <w:rsid w:val="00361DE7"/>
    <w:rsid w:val="003620AF"/>
    <w:rsid w:val="00362753"/>
    <w:rsid w:val="00362D5C"/>
    <w:rsid w:val="00363C60"/>
    <w:rsid w:val="003667DA"/>
    <w:rsid w:val="00367E9D"/>
    <w:rsid w:val="0037118A"/>
    <w:rsid w:val="00371463"/>
    <w:rsid w:val="003718BB"/>
    <w:rsid w:val="003718D6"/>
    <w:rsid w:val="00372426"/>
    <w:rsid w:val="003726A0"/>
    <w:rsid w:val="00374B54"/>
    <w:rsid w:val="00377205"/>
    <w:rsid w:val="003808C9"/>
    <w:rsid w:val="00383464"/>
    <w:rsid w:val="00383592"/>
    <w:rsid w:val="003854E6"/>
    <w:rsid w:val="00385BC3"/>
    <w:rsid w:val="00392A22"/>
    <w:rsid w:val="003930C0"/>
    <w:rsid w:val="003935C9"/>
    <w:rsid w:val="0039455D"/>
    <w:rsid w:val="00394F6A"/>
    <w:rsid w:val="003953B8"/>
    <w:rsid w:val="00395C99"/>
    <w:rsid w:val="003972E7"/>
    <w:rsid w:val="003A17AA"/>
    <w:rsid w:val="003A18FA"/>
    <w:rsid w:val="003A1C26"/>
    <w:rsid w:val="003A1DDA"/>
    <w:rsid w:val="003A29B6"/>
    <w:rsid w:val="003A4319"/>
    <w:rsid w:val="003A5758"/>
    <w:rsid w:val="003A5AA2"/>
    <w:rsid w:val="003A7A11"/>
    <w:rsid w:val="003B0838"/>
    <w:rsid w:val="003B0ECE"/>
    <w:rsid w:val="003B1A85"/>
    <w:rsid w:val="003B1D9F"/>
    <w:rsid w:val="003B2586"/>
    <w:rsid w:val="003B311C"/>
    <w:rsid w:val="003B4193"/>
    <w:rsid w:val="003B45F3"/>
    <w:rsid w:val="003B4C5D"/>
    <w:rsid w:val="003B6868"/>
    <w:rsid w:val="003C0A17"/>
    <w:rsid w:val="003C166B"/>
    <w:rsid w:val="003C262F"/>
    <w:rsid w:val="003C35B2"/>
    <w:rsid w:val="003C3772"/>
    <w:rsid w:val="003C3F3A"/>
    <w:rsid w:val="003C4441"/>
    <w:rsid w:val="003C44D1"/>
    <w:rsid w:val="003C4A48"/>
    <w:rsid w:val="003C57DF"/>
    <w:rsid w:val="003C7933"/>
    <w:rsid w:val="003D0DDD"/>
    <w:rsid w:val="003D0F6D"/>
    <w:rsid w:val="003D1A4B"/>
    <w:rsid w:val="003D1F31"/>
    <w:rsid w:val="003D1F8F"/>
    <w:rsid w:val="003D1FED"/>
    <w:rsid w:val="003D2412"/>
    <w:rsid w:val="003D2AC7"/>
    <w:rsid w:val="003D2C3B"/>
    <w:rsid w:val="003D2C9E"/>
    <w:rsid w:val="003D3386"/>
    <w:rsid w:val="003D38DC"/>
    <w:rsid w:val="003D3CE3"/>
    <w:rsid w:val="003D43C4"/>
    <w:rsid w:val="003D4529"/>
    <w:rsid w:val="003D6E54"/>
    <w:rsid w:val="003D6FF9"/>
    <w:rsid w:val="003E0052"/>
    <w:rsid w:val="003E1F3C"/>
    <w:rsid w:val="003E2C35"/>
    <w:rsid w:val="003E4959"/>
    <w:rsid w:val="003E5126"/>
    <w:rsid w:val="003E5676"/>
    <w:rsid w:val="003E57B3"/>
    <w:rsid w:val="003E5DF7"/>
    <w:rsid w:val="003E661A"/>
    <w:rsid w:val="003E71DF"/>
    <w:rsid w:val="003E7412"/>
    <w:rsid w:val="003F0284"/>
    <w:rsid w:val="003F0A43"/>
    <w:rsid w:val="003F1B2E"/>
    <w:rsid w:val="003F2742"/>
    <w:rsid w:val="003F4058"/>
    <w:rsid w:val="003F52E1"/>
    <w:rsid w:val="003F6C9E"/>
    <w:rsid w:val="003F727F"/>
    <w:rsid w:val="004010A9"/>
    <w:rsid w:val="0040398D"/>
    <w:rsid w:val="0040412D"/>
    <w:rsid w:val="0040473C"/>
    <w:rsid w:val="004047EF"/>
    <w:rsid w:val="0040484B"/>
    <w:rsid w:val="00404CD9"/>
    <w:rsid w:val="00404F92"/>
    <w:rsid w:val="00407244"/>
    <w:rsid w:val="004075FA"/>
    <w:rsid w:val="00411A1E"/>
    <w:rsid w:val="00412291"/>
    <w:rsid w:val="0041295F"/>
    <w:rsid w:val="00412D26"/>
    <w:rsid w:val="00412D6C"/>
    <w:rsid w:val="00412F84"/>
    <w:rsid w:val="0041304E"/>
    <w:rsid w:val="0041380C"/>
    <w:rsid w:val="00413867"/>
    <w:rsid w:val="004144C1"/>
    <w:rsid w:val="004156E0"/>
    <w:rsid w:val="0041571C"/>
    <w:rsid w:val="0041612B"/>
    <w:rsid w:val="004161BF"/>
    <w:rsid w:val="00417FC7"/>
    <w:rsid w:val="004200B4"/>
    <w:rsid w:val="00420863"/>
    <w:rsid w:val="004208B4"/>
    <w:rsid w:val="004212F7"/>
    <w:rsid w:val="0042194B"/>
    <w:rsid w:val="004235A8"/>
    <w:rsid w:val="004237E2"/>
    <w:rsid w:val="00423E5D"/>
    <w:rsid w:val="00424D19"/>
    <w:rsid w:val="0042591D"/>
    <w:rsid w:val="00425E72"/>
    <w:rsid w:val="00426D9A"/>
    <w:rsid w:val="0043185B"/>
    <w:rsid w:val="00432AE3"/>
    <w:rsid w:val="004335C4"/>
    <w:rsid w:val="00434256"/>
    <w:rsid w:val="00435384"/>
    <w:rsid w:val="004408D6"/>
    <w:rsid w:val="00440A86"/>
    <w:rsid w:val="00440BB8"/>
    <w:rsid w:val="00441169"/>
    <w:rsid w:val="00441741"/>
    <w:rsid w:val="00441F19"/>
    <w:rsid w:val="004422FB"/>
    <w:rsid w:val="004424B2"/>
    <w:rsid w:val="00442E46"/>
    <w:rsid w:val="004439A1"/>
    <w:rsid w:val="00443F4C"/>
    <w:rsid w:val="00444D88"/>
    <w:rsid w:val="00446E50"/>
    <w:rsid w:val="00447510"/>
    <w:rsid w:val="00450144"/>
    <w:rsid w:val="00451B09"/>
    <w:rsid w:val="004553AE"/>
    <w:rsid w:val="00456B6C"/>
    <w:rsid w:val="00460AB9"/>
    <w:rsid w:val="0046113F"/>
    <w:rsid w:val="00461466"/>
    <w:rsid w:val="00462FB0"/>
    <w:rsid w:val="0046308C"/>
    <w:rsid w:val="004656A8"/>
    <w:rsid w:val="00465AB5"/>
    <w:rsid w:val="00465B30"/>
    <w:rsid w:val="00467B83"/>
    <w:rsid w:val="00470119"/>
    <w:rsid w:val="004706BD"/>
    <w:rsid w:val="00471DAC"/>
    <w:rsid w:val="004721FB"/>
    <w:rsid w:val="0047246E"/>
    <w:rsid w:val="004729FB"/>
    <w:rsid w:val="00475E99"/>
    <w:rsid w:val="004765F4"/>
    <w:rsid w:val="00476C04"/>
    <w:rsid w:val="00476E2F"/>
    <w:rsid w:val="004772AF"/>
    <w:rsid w:val="0047737E"/>
    <w:rsid w:val="00480515"/>
    <w:rsid w:val="00481E7A"/>
    <w:rsid w:val="004844B3"/>
    <w:rsid w:val="00484853"/>
    <w:rsid w:val="00486145"/>
    <w:rsid w:val="004871BE"/>
    <w:rsid w:val="00487B35"/>
    <w:rsid w:val="00490DEC"/>
    <w:rsid w:val="004912EB"/>
    <w:rsid w:val="004919F2"/>
    <w:rsid w:val="00492AB3"/>
    <w:rsid w:val="0049338F"/>
    <w:rsid w:val="0049358B"/>
    <w:rsid w:val="00493811"/>
    <w:rsid w:val="0049441C"/>
    <w:rsid w:val="00494E5C"/>
    <w:rsid w:val="004957F8"/>
    <w:rsid w:val="00495A9C"/>
    <w:rsid w:val="00495E68"/>
    <w:rsid w:val="004960CE"/>
    <w:rsid w:val="004966CB"/>
    <w:rsid w:val="00496FB2"/>
    <w:rsid w:val="004A05CF"/>
    <w:rsid w:val="004A0A05"/>
    <w:rsid w:val="004A0D2E"/>
    <w:rsid w:val="004A14C3"/>
    <w:rsid w:val="004A156B"/>
    <w:rsid w:val="004A18B0"/>
    <w:rsid w:val="004A1E6F"/>
    <w:rsid w:val="004A20E8"/>
    <w:rsid w:val="004A265D"/>
    <w:rsid w:val="004A2B26"/>
    <w:rsid w:val="004A3675"/>
    <w:rsid w:val="004A4159"/>
    <w:rsid w:val="004A5183"/>
    <w:rsid w:val="004A580C"/>
    <w:rsid w:val="004A5B9E"/>
    <w:rsid w:val="004A63D9"/>
    <w:rsid w:val="004A7751"/>
    <w:rsid w:val="004A7FF9"/>
    <w:rsid w:val="004B0282"/>
    <w:rsid w:val="004B04FC"/>
    <w:rsid w:val="004B0593"/>
    <w:rsid w:val="004B0B25"/>
    <w:rsid w:val="004B489D"/>
    <w:rsid w:val="004B6242"/>
    <w:rsid w:val="004B7999"/>
    <w:rsid w:val="004C1095"/>
    <w:rsid w:val="004C11D4"/>
    <w:rsid w:val="004C1B3D"/>
    <w:rsid w:val="004C2291"/>
    <w:rsid w:val="004C293E"/>
    <w:rsid w:val="004C344B"/>
    <w:rsid w:val="004C4845"/>
    <w:rsid w:val="004C5A45"/>
    <w:rsid w:val="004C5AB7"/>
    <w:rsid w:val="004C6FAE"/>
    <w:rsid w:val="004C7132"/>
    <w:rsid w:val="004C7B4A"/>
    <w:rsid w:val="004D071A"/>
    <w:rsid w:val="004D19B7"/>
    <w:rsid w:val="004D27DD"/>
    <w:rsid w:val="004D3606"/>
    <w:rsid w:val="004D45C7"/>
    <w:rsid w:val="004D480F"/>
    <w:rsid w:val="004D6F56"/>
    <w:rsid w:val="004D783A"/>
    <w:rsid w:val="004E0191"/>
    <w:rsid w:val="004E0633"/>
    <w:rsid w:val="004E07DF"/>
    <w:rsid w:val="004E36FA"/>
    <w:rsid w:val="004E4557"/>
    <w:rsid w:val="004E4D55"/>
    <w:rsid w:val="004E564A"/>
    <w:rsid w:val="004E5C51"/>
    <w:rsid w:val="004E5EFB"/>
    <w:rsid w:val="004E68FB"/>
    <w:rsid w:val="004F1161"/>
    <w:rsid w:val="004F11A4"/>
    <w:rsid w:val="004F299E"/>
    <w:rsid w:val="004F2CFC"/>
    <w:rsid w:val="004F3C55"/>
    <w:rsid w:val="004F3E84"/>
    <w:rsid w:val="004F3F9D"/>
    <w:rsid w:val="004F423C"/>
    <w:rsid w:val="004F440B"/>
    <w:rsid w:val="004F51F5"/>
    <w:rsid w:val="004F5D41"/>
    <w:rsid w:val="004F6CBB"/>
    <w:rsid w:val="004F77CF"/>
    <w:rsid w:val="0050058C"/>
    <w:rsid w:val="005012B4"/>
    <w:rsid w:val="00502537"/>
    <w:rsid w:val="00502CF4"/>
    <w:rsid w:val="005031C1"/>
    <w:rsid w:val="005056D8"/>
    <w:rsid w:val="00505758"/>
    <w:rsid w:val="005068CA"/>
    <w:rsid w:val="00507829"/>
    <w:rsid w:val="0050787A"/>
    <w:rsid w:val="00510DF3"/>
    <w:rsid w:val="00511241"/>
    <w:rsid w:val="0051137F"/>
    <w:rsid w:val="00511393"/>
    <w:rsid w:val="005136AA"/>
    <w:rsid w:val="005142DD"/>
    <w:rsid w:val="0052007D"/>
    <w:rsid w:val="005204C3"/>
    <w:rsid w:val="0052077B"/>
    <w:rsid w:val="00522008"/>
    <w:rsid w:val="005223E2"/>
    <w:rsid w:val="005224F7"/>
    <w:rsid w:val="00522604"/>
    <w:rsid w:val="005235B9"/>
    <w:rsid w:val="00525061"/>
    <w:rsid w:val="00525610"/>
    <w:rsid w:val="00525FDC"/>
    <w:rsid w:val="005276AC"/>
    <w:rsid w:val="00527B3B"/>
    <w:rsid w:val="00527F4E"/>
    <w:rsid w:val="00531273"/>
    <w:rsid w:val="00531BFD"/>
    <w:rsid w:val="00532055"/>
    <w:rsid w:val="00532A80"/>
    <w:rsid w:val="0053355D"/>
    <w:rsid w:val="00534F0E"/>
    <w:rsid w:val="0053680D"/>
    <w:rsid w:val="005369FA"/>
    <w:rsid w:val="0054074A"/>
    <w:rsid w:val="00540C1B"/>
    <w:rsid w:val="00540D32"/>
    <w:rsid w:val="0054122D"/>
    <w:rsid w:val="005421EF"/>
    <w:rsid w:val="00542466"/>
    <w:rsid w:val="005424E9"/>
    <w:rsid w:val="00542971"/>
    <w:rsid w:val="00544176"/>
    <w:rsid w:val="00544CF3"/>
    <w:rsid w:val="005451E5"/>
    <w:rsid w:val="00547FE4"/>
    <w:rsid w:val="00551294"/>
    <w:rsid w:val="005515CA"/>
    <w:rsid w:val="005525C6"/>
    <w:rsid w:val="00553831"/>
    <w:rsid w:val="0055500F"/>
    <w:rsid w:val="00556B39"/>
    <w:rsid w:val="00560500"/>
    <w:rsid w:val="00560D6B"/>
    <w:rsid w:val="00562C59"/>
    <w:rsid w:val="0056418A"/>
    <w:rsid w:val="0056538D"/>
    <w:rsid w:val="005663C7"/>
    <w:rsid w:val="0057064A"/>
    <w:rsid w:val="00570829"/>
    <w:rsid w:val="005739B3"/>
    <w:rsid w:val="00573E8F"/>
    <w:rsid w:val="00574C35"/>
    <w:rsid w:val="00576EA9"/>
    <w:rsid w:val="005774F7"/>
    <w:rsid w:val="00577C5E"/>
    <w:rsid w:val="00580336"/>
    <w:rsid w:val="00580988"/>
    <w:rsid w:val="00580EF0"/>
    <w:rsid w:val="005820FA"/>
    <w:rsid w:val="00582CE9"/>
    <w:rsid w:val="00583660"/>
    <w:rsid w:val="00583D28"/>
    <w:rsid w:val="005854B3"/>
    <w:rsid w:val="0058614A"/>
    <w:rsid w:val="00587347"/>
    <w:rsid w:val="005873B0"/>
    <w:rsid w:val="00592436"/>
    <w:rsid w:val="005932F2"/>
    <w:rsid w:val="00594540"/>
    <w:rsid w:val="005948F0"/>
    <w:rsid w:val="0059507F"/>
    <w:rsid w:val="00595B2B"/>
    <w:rsid w:val="00595E44"/>
    <w:rsid w:val="00596B22"/>
    <w:rsid w:val="00597978"/>
    <w:rsid w:val="00597A37"/>
    <w:rsid w:val="005A00D7"/>
    <w:rsid w:val="005A03A4"/>
    <w:rsid w:val="005A1D14"/>
    <w:rsid w:val="005A2F13"/>
    <w:rsid w:val="005A3A55"/>
    <w:rsid w:val="005A435D"/>
    <w:rsid w:val="005A4456"/>
    <w:rsid w:val="005A4724"/>
    <w:rsid w:val="005A6C40"/>
    <w:rsid w:val="005B0431"/>
    <w:rsid w:val="005B1A20"/>
    <w:rsid w:val="005B2341"/>
    <w:rsid w:val="005B2BB3"/>
    <w:rsid w:val="005B2F91"/>
    <w:rsid w:val="005B67DB"/>
    <w:rsid w:val="005B6BAC"/>
    <w:rsid w:val="005B6D6F"/>
    <w:rsid w:val="005B7D53"/>
    <w:rsid w:val="005C0E20"/>
    <w:rsid w:val="005C0EC5"/>
    <w:rsid w:val="005C1068"/>
    <w:rsid w:val="005C16E4"/>
    <w:rsid w:val="005C1B5B"/>
    <w:rsid w:val="005C39FC"/>
    <w:rsid w:val="005C3A96"/>
    <w:rsid w:val="005C3C15"/>
    <w:rsid w:val="005C445D"/>
    <w:rsid w:val="005C5329"/>
    <w:rsid w:val="005C5908"/>
    <w:rsid w:val="005C6E2E"/>
    <w:rsid w:val="005C70CA"/>
    <w:rsid w:val="005D1FAD"/>
    <w:rsid w:val="005D2326"/>
    <w:rsid w:val="005D2835"/>
    <w:rsid w:val="005D2A2A"/>
    <w:rsid w:val="005D4A34"/>
    <w:rsid w:val="005D72FE"/>
    <w:rsid w:val="005D7BFB"/>
    <w:rsid w:val="005E0D0F"/>
    <w:rsid w:val="005E1204"/>
    <w:rsid w:val="005E2287"/>
    <w:rsid w:val="005E2D7C"/>
    <w:rsid w:val="005E362C"/>
    <w:rsid w:val="005E43B7"/>
    <w:rsid w:val="005E53A1"/>
    <w:rsid w:val="005E6434"/>
    <w:rsid w:val="005E7ED6"/>
    <w:rsid w:val="005F1A63"/>
    <w:rsid w:val="005F1F39"/>
    <w:rsid w:val="005F2109"/>
    <w:rsid w:val="005F422F"/>
    <w:rsid w:val="005F57ED"/>
    <w:rsid w:val="005F60DF"/>
    <w:rsid w:val="005F64B7"/>
    <w:rsid w:val="005F7709"/>
    <w:rsid w:val="005F77DC"/>
    <w:rsid w:val="00600394"/>
    <w:rsid w:val="00602783"/>
    <w:rsid w:val="00604652"/>
    <w:rsid w:val="00604AAA"/>
    <w:rsid w:val="00605B88"/>
    <w:rsid w:val="00606853"/>
    <w:rsid w:val="00607091"/>
    <w:rsid w:val="00607E52"/>
    <w:rsid w:val="00610ECF"/>
    <w:rsid w:val="00611B21"/>
    <w:rsid w:val="00611B33"/>
    <w:rsid w:val="00611BEE"/>
    <w:rsid w:val="00612CED"/>
    <w:rsid w:val="00612F68"/>
    <w:rsid w:val="0061450B"/>
    <w:rsid w:val="00614F47"/>
    <w:rsid w:val="00615501"/>
    <w:rsid w:val="006168BA"/>
    <w:rsid w:val="0061710D"/>
    <w:rsid w:val="00620DA3"/>
    <w:rsid w:val="00621C04"/>
    <w:rsid w:val="00622890"/>
    <w:rsid w:val="0062299B"/>
    <w:rsid w:val="00622A19"/>
    <w:rsid w:val="00622B7A"/>
    <w:rsid w:val="00622D6E"/>
    <w:rsid w:val="00622DA4"/>
    <w:rsid w:val="006234EF"/>
    <w:rsid w:val="0062363D"/>
    <w:rsid w:val="0062473B"/>
    <w:rsid w:val="00624E3D"/>
    <w:rsid w:val="00625251"/>
    <w:rsid w:val="006258E3"/>
    <w:rsid w:val="00626092"/>
    <w:rsid w:val="0062761E"/>
    <w:rsid w:val="006303EC"/>
    <w:rsid w:val="00630984"/>
    <w:rsid w:val="00633AB3"/>
    <w:rsid w:val="00635980"/>
    <w:rsid w:val="006364B1"/>
    <w:rsid w:val="00641843"/>
    <w:rsid w:val="0064229E"/>
    <w:rsid w:val="006427B5"/>
    <w:rsid w:val="00643125"/>
    <w:rsid w:val="0064558E"/>
    <w:rsid w:val="006459CC"/>
    <w:rsid w:val="006463B6"/>
    <w:rsid w:val="006470EF"/>
    <w:rsid w:val="006475F1"/>
    <w:rsid w:val="00650D79"/>
    <w:rsid w:val="00651620"/>
    <w:rsid w:val="0065351B"/>
    <w:rsid w:val="006540D2"/>
    <w:rsid w:val="00654DA5"/>
    <w:rsid w:val="0065548D"/>
    <w:rsid w:val="006554DD"/>
    <w:rsid w:val="00655997"/>
    <w:rsid w:val="006561E0"/>
    <w:rsid w:val="0066182C"/>
    <w:rsid w:val="00662137"/>
    <w:rsid w:val="006639EA"/>
    <w:rsid w:val="00663A0F"/>
    <w:rsid w:val="00664273"/>
    <w:rsid w:val="00664A7D"/>
    <w:rsid w:val="00665697"/>
    <w:rsid w:val="00665EF2"/>
    <w:rsid w:val="006661DF"/>
    <w:rsid w:val="00666974"/>
    <w:rsid w:val="00667414"/>
    <w:rsid w:val="006677C0"/>
    <w:rsid w:val="006704E8"/>
    <w:rsid w:val="00670BD6"/>
    <w:rsid w:val="006725AF"/>
    <w:rsid w:val="00672FA4"/>
    <w:rsid w:val="00674285"/>
    <w:rsid w:val="00674350"/>
    <w:rsid w:val="00676158"/>
    <w:rsid w:val="006777A8"/>
    <w:rsid w:val="0068021A"/>
    <w:rsid w:val="00682F98"/>
    <w:rsid w:val="00683664"/>
    <w:rsid w:val="00684450"/>
    <w:rsid w:val="006844F5"/>
    <w:rsid w:val="00685904"/>
    <w:rsid w:val="00686C20"/>
    <w:rsid w:val="00686E54"/>
    <w:rsid w:val="00687A0E"/>
    <w:rsid w:val="0069039C"/>
    <w:rsid w:val="006904E3"/>
    <w:rsid w:val="00690EC9"/>
    <w:rsid w:val="00690F6C"/>
    <w:rsid w:val="00691236"/>
    <w:rsid w:val="006913D2"/>
    <w:rsid w:val="006914DE"/>
    <w:rsid w:val="00691D7E"/>
    <w:rsid w:val="00693EA1"/>
    <w:rsid w:val="006961E1"/>
    <w:rsid w:val="006A03DA"/>
    <w:rsid w:val="006A0E4C"/>
    <w:rsid w:val="006A1403"/>
    <w:rsid w:val="006A32A8"/>
    <w:rsid w:val="006A6400"/>
    <w:rsid w:val="006A6BC1"/>
    <w:rsid w:val="006A7F03"/>
    <w:rsid w:val="006B1DD9"/>
    <w:rsid w:val="006B2120"/>
    <w:rsid w:val="006B303F"/>
    <w:rsid w:val="006B4D83"/>
    <w:rsid w:val="006B5AD4"/>
    <w:rsid w:val="006B7870"/>
    <w:rsid w:val="006C0FD3"/>
    <w:rsid w:val="006C1C9C"/>
    <w:rsid w:val="006C4861"/>
    <w:rsid w:val="006C5CD5"/>
    <w:rsid w:val="006C781B"/>
    <w:rsid w:val="006D0D8B"/>
    <w:rsid w:val="006D16D7"/>
    <w:rsid w:val="006D1E4C"/>
    <w:rsid w:val="006D1FD7"/>
    <w:rsid w:val="006D2439"/>
    <w:rsid w:val="006D2DF6"/>
    <w:rsid w:val="006D3993"/>
    <w:rsid w:val="006D3EF3"/>
    <w:rsid w:val="006D537D"/>
    <w:rsid w:val="006D6F7D"/>
    <w:rsid w:val="006E11EA"/>
    <w:rsid w:val="006E16E0"/>
    <w:rsid w:val="006E20D1"/>
    <w:rsid w:val="006E3851"/>
    <w:rsid w:val="006E3B1E"/>
    <w:rsid w:val="006E40D3"/>
    <w:rsid w:val="006E5120"/>
    <w:rsid w:val="006E6B7D"/>
    <w:rsid w:val="006E7794"/>
    <w:rsid w:val="006E7975"/>
    <w:rsid w:val="006E7EBA"/>
    <w:rsid w:val="006F040C"/>
    <w:rsid w:val="006F0505"/>
    <w:rsid w:val="006F0647"/>
    <w:rsid w:val="006F1180"/>
    <w:rsid w:val="006F47A1"/>
    <w:rsid w:val="006F6C3D"/>
    <w:rsid w:val="007003F3"/>
    <w:rsid w:val="00701925"/>
    <w:rsid w:val="00702608"/>
    <w:rsid w:val="00702743"/>
    <w:rsid w:val="00703359"/>
    <w:rsid w:val="007041AF"/>
    <w:rsid w:val="0071179F"/>
    <w:rsid w:val="007117F7"/>
    <w:rsid w:val="00711DF9"/>
    <w:rsid w:val="00712EB8"/>
    <w:rsid w:val="00715585"/>
    <w:rsid w:val="00716870"/>
    <w:rsid w:val="00717289"/>
    <w:rsid w:val="00720613"/>
    <w:rsid w:val="0072333E"/>
    <w:rsid w:val="00723801"/>
    <w:rsid w:val="00724E0D"/>
    <w:rsid w:val="00725AA0"/>
    <w:rsid w:val="007264D3"/>
    <w:rsid w:val="007266D4"/>
    <w:rsid w:val="00726F57"/>
    <w:rsid w:val="00727CB0"/>
    <w:rsid w:val="007300A9"/>
    <w:rsid w:val="00730400"/>
    <w:rsid w:val="0073055A"/>
    <w:rsid w:val="00730ABE"/>
    <w:rsid w:val="007310EB"/>
    <w:rsid w:val="0073179B"/>
    <w:rsid w:val="00731A62"/>
    <w:rsid w:val="00731AD8"/>
    <w:rsid w:val="00732955"/>
    <w:rsid w:val="00732B96"/>
    <w:rsid w:val="00733134"/>
    <w:rsid w:val="007336FA"/>
    <w:rsid w:val="00733BB0"/>
    <w:rsid w:val="00735BE6"/>
    <w:rsid w:val="00740DBF"/>
    <w:rsid w:val="00741E22"/>
    <w:rsid w:val="00741EC1"/>
    <w:rsid w:val="007420B4"/>
    <w:rsid w:val="00742FD2"/>
    <w:rsid w:val="00743E5C"/>
    <w:rsid w:val="00744C25"/>
    <w:rsid w:val="00744EF2"/>
    <w:rsid w:val="0074596E"/>
    <w:rsid w:val="00745BCB"/>
    <w:rsid w:val="00746EAF"/>
    <w:rsid w:val="00747CA0"/>
    <w:rsid w:val="00750849"/>
    <w:rsid w:val="00750B42"/>
    <w:rsid w:val="007528F8"/>
    <w:rsid w:val="00754C42"/>
    <w:rsid w:val="00757D30"/>
    <w:rsid w:val="0076039A"/>
    <w:rsid w:val="0076138F"/>
    <w:rsid w:val="00761858"/>
    <w:rsid w:val="007618C1"/>
    <w:rsid w:val="00762410"/>
    <w:rsid w:val="0076338A"/>
    <w:rsid w:val="00765ABE"/>
    <w:rsid w:val="00767B74"/>
    <w:rsid w:val="007704D2"/>
    <w:rsid w:val="00770635"/>
    <w:rsid w:val="00770699"/>
    <w:rsid w:val="00771E8E"/>
    <w:rsid w:val="0077236B"/>
    <w:rsid w:val="007730E7"/>
    <w:rsid w:val="00774626"/>
    <w:rsid w:val="00774C1B"/>
    <w:rsid w:val="00774FD5"/>
    <w:rsid w:val="0077628F"/>
    <w:rsid w:val="007769C0"/>
    <w:rsid w:val="00776CEE"/>
    <w:rsid w:val="007773DF"/>
    <w:rsid w:val="00777AD6"/>
    <w:rsid w:val="00777ED6"/>
    <w:rsid w:val="00780702"/>
    <w:rsid w:val="00780EF8"/>
    <w:rsid w:val="00782165"/>
    <w:rsid w:val="00782C46"/>
    <w:rsid w:val="007833CA"/>
    <w:rsid w:val="0078383C"/>
    <w:rsid w:val="00783F9A"/>
    <w:rsid w:val="007842F3"/>
    <w:rsid w:val="007848CD"/>
    <w:rsid w:val="0078508E"/>
    <w:rsid w:val="00785FEB"/>
    <w:rsid w:val="00786C6E"/>
    <w:rsid w:val="00787A98"/>
    <w:rsid w:val="007917F1"/>
    <w:rsid w:val="00792E27"/>
    <w:rsid w:val="007946F1"/>
    <w:rsid w:val="00794A93"/>
    <w:rsid w:val="007974DD"/>
    <w:rsid w:val="00797D71"/>
    <w:rsid w:val="007A0135"/>
    <w:rsid w:val="007A01FD"/>
    <w:rsid w:val="007A0D67"/>
    <w:rsid w:val="007A3121"/>
    <w:rsid w:val="007A36FB"/>
    <w:rsid w:val="007A4940"/>
    <w:rsid w:val="007A5141"/>
    <w:rsid w:val="007A5D43"/>
    <w:rsid w:val="007A6806"/>
    <w:rsid w:val="007A6F13"/>
    <w:rsid w:val="007A7371"/>
    <w:rsid w:val="007B0320"/>
    <w:rsid w:val="007B0F84"/>
    <w:rsid w:val="007B0F91"/>
    <w:rsid w:val="007B20A9"/>
    <w:rsid w:val="007B4987"/>
    <w:rsid w:val="007B5FE4"/>
    <w:rsid w:val="007B6149"/>
    <w:rsid w:val="007B6156"/>
    <w:rsid w:val="007B73FB"/>
    <w:rsid w:val="007C038E"/>
    <w:rsid w:val="007C21EE"/>
    <w:rsid w:val="007C2314"/>
    <w:rsid w:val="007C3002"/>
    <w:rsid w:val="007C4E63"/>
    <w:rsid w:val="007C60C0"/>
    <w:rsid w:val="007C71F3"/>
    <w:rsid w:val="007C7B71"/>
    <w:rsid w:val="007D00EA"/>
    <w:rsid w:val="007D1534"/>
    <w:rsid w:val="007D1709"/>
    <w:rsid w:val="007D17EB"/>
    <w:rsid w:val="007D1DF1"/>
    <w:rsid w:val="007D1E9F"/>
    <w:rsid w:val="007D1EEA"/>
    <w:rsid w:val="007D348F"/>
    <w:rsid w:val="007D38A8"/>
    <w:rsid w:val="007D4926"/>
    <w:rsid w:val="007D58F8"/>
    <w:rsid w:val="007D6D04"/>
    <w:rsid w:val="007D6E61"/>
    <w:rsid w:val="007E0078"/>
    <w:rsid w:val="007E031B"/>
    <w:rsid w:val="007E0677"/>
    <w:rsid w:val="007E255D"/>
    <w:rsid w:val="007E2E55"/>
    <w:rsid w:val="007E3476"/>
    <w:rsid w:val="007E36A8"/>
    <w:rsid w:val="007E3867"/>
    <w:rsid w:val="007E45F1"/>
    <w:rsid w:val="007E4DD4"/>
    <w:rsid w:val="007E52D2"/>
    <w:rsid w:val="007E55CE"/>
    <w:rsid w:val="007E6303"/>
    <w:rsid w:val="007E6898"/>
    <w:rsid w:val="007E7C3C"/>
    <w:rsid w:val="007F0C61"/>
    <w:rsid w:val="007F1079"/>
    <w:rsid w:val="007F11BF"/>
    <w:rsid w:val="007F12E3"/>
    <w:rsid w:val="007F270F"/>
    <w:rsid w:val="007F2CCC"/>
    <w:rsid w:val="007F2D60"/>
    <w:rsid w:val="007F50FE"/>
    <w:rsid w:val="007F569D"/>
    <w:rsid w:val="007F6757"/>
    <w:rsid w:val="007F7170"/>
    <w:rsid w:val="007F7290"/>
    <w:rsid w:val="008032D1"/>
    <w:rsid w:val="008041A3"/>
    <w:rsid w:val="008045A8"/>
    <w:rsid w:val="008046BD"/>
    <w:rsid w:val="00804EC3"/>
    <w:rsid w:val="008050EE"/>
    <w:rsid w:val="00805B94"/>
    <w:rsid w:val="0080698C"/>
    <w:rsid w:val="00813122"/>
    <w:rsid w:val="00813272"/>
    <w:rsid w:val="00813A38"/>
    <w:rsid w:val="0081489B"/>
    <w:rsid w:val="0081585D"/>
    <w:rsid w:val="00816029"/>
    <w:rsid w:val="00817CAD"/>
    <w:rsid w:val="00817D29"/>
    <w:rsid w:val="00817F52"/>
    <w:rsid w:val="008200D4"/>
    <w:rsid w:val="008217F9"/>
    <w:rsid w:val="00824077"/>
    <w:rsid w:val="00824103"/>
    <w:rsid w:val="00825866"/>
    <w:rsid w:val="00826EEE"/>
    <w:rsid w:val="00827843"/>
    <w:rsid w:val="00831D1C"/>
    <w:rsid w:val="00831FFC"/>
    <w:rsid w:val="00832889"/>
    <w:rsid w:val="008334E7"/>
    <w:rsid w:val="0083406A"/>
    <w:rsid w:val="008341EF"/>
    <w:rsid w:val="00834371"/>
    <w:rsid w:val="00836FE6"/>
    <w:rsid w:val="0083721D"/>
    <w:rsid w:val="00840701"/>
    <w:rsid w:val="0084309B"/>
    <w:rsid w:val="00844EFE"/>
    <w:rsid w:val="00844F0A"/>
    <w:rsid w:val="00845951"/>
    <w:rsid w:val="00845D4B"/>
    <w:rsid w:val="0084711C"/>
    <w:rsid w:val="00847A92"/>
    <w:rsid w:val="00850664"/>
    <w:rsid w:val="00851177"/>
    <w:rsid w:val="008513E0"/>
    <w:rsid w:val="00851D6B"/>
    <w:rsid w:val="0085296A"/>
    <w:rsid w:val="00853167"/>
    <w:rsid w:val="008549FF"/>
    <w:rsid w:val="008550DC"/>
    <w:rsid w:val="00856BB6"/>
    <w:rsid w:val="00860ADA"/>
    <w:rsid w:val="00860D32"/>
    <w:rsid w:val="008612F3"/>
    <w:rsid w:val="00862942"/>
    <w:rsid w:val="00862B04"/>
    <w:rsid w:val="00863319"/>
    <w:rsid w:val="00863892"/>
    <w:rsid w:val="00863C0E"/>
    <w:rsid w:val="00864B01"/>
    <w:rsid w:val="00864BA5"/>
    <w:rsid w:val="008658D6"/>
    <w:rsid w:val="00866B9B"/>
    <w:rsid w:val="0087010C"/>
    <w:rsid w:val="00870986"/>
    <w:rsid w:val="0087283D"/>
    <w:rsid w:val="00872C34"/>
    <w:rsid w:val="0087303F"/>
    <w:rsid w:val="00873276"/>
    <w:rsid w:val="00873778"/>
    <w:rsid w:val="008739DF"/>
    <w:rsid w:val="0087532E"/>
    <w:rsid w:val="008753A1"/>
    <w:rsid w:val="008755B2"/>
    <w:rsid w:val="00875989"/>
    <w:rsid w:val="008759AA"/>
    <w:rsid w:val="008804CC"/>
    <w:rsid w:val="008816B2"/>
    <w:rsid w:val="00881E62"/>
    <w:rsid w:val="008820A7"/>
    <w:rsid w:val="0088275B"/>
    <w:rsid w:val="00882833"/>
    <w:rsid w:val="008846DE"/>
    <w:rsid w:val="00885192"/>
    <w:rsid w:val="00886222"/>
    <w:rsid w:val="00887634"/>
    <w:rsid w:val="008878D0"/>
    <w:rsid w:val="00890FE9"/>
    <w:rsid w:val="0089133C"/>
    <w:rsid w:val="008917BB"/>
    <w:rsid w:val="008919E3"/>
    <w:rsid w:val="00892ED4"/>
    <w:rsid w:val="0089318F"/>
    <w:rsid w:val="008937C8"/>
    <w:rsid w:val="008938F7"/>
    <w:rsid w:val="008948B3"/>
    <w:rsid w:val="008955DF"/>
    <w:rsid w:val="00896639"/>
    <w:rsid w:val="008967C6"/>
    <w:rsid w:val="008974AA"/>
    <w:rsid w:val="008A0250"/>
    <w:rsid w:val="008A1A87"/>
    <w:rsid w:val="008A1CD3"/>
    <w:rsid w:val="008A29B9"/>
    <w:rsid w:val="008A2E88"/>
    <w:rsid w:val="008A310C"/>
    <w:rsid w:val="008A3706"/>
    <w:rsid w:val="008A39AB"/>
    <w:rsid w:val="008A3B31"/>
    <w:rsid w:val="008A62D8"/>
    <w:rsid w:val="008A6658"/>
    <w:rsid w:val="008A6851"/>
    <w:rsid w:val="008A6C32"/>
    <w:rsid w:val="008A711E"/>
    <w:rsid w:val="008A7239"/>
    <w:rsid w:val="008B18E5"/>
    <w:rsid w:val="008B23C1"/>
    <w:rsid w:val="008B376D"/>
    <w:rsid w:val="008B4448"/>
    <w:rsid w:val="008B4CDD"/>
    <w:rsid w:val="008B611F"/>
    <w:rsid w:val="008B72B5"/>
    <w:rsid w:val="008B789C"/>
    <w:rsid w:val="008C0907"/>
    <w:rsid w:val="008C35A7"/>
    <w:rsid w:val="008C4410"/>
    <w:rsid w:val="008C4E4D"/>
    <w:rsid w:val="008C605B"/>
    <w:rsid w:val="008C6EF2"/>
    <w:rsid w:val="008C74FE"/>
    <w:rsid w:val="008D0088"/>
    <w:rsid w:val="008D08DD"/>
    <w:rsid w:val="008D14F6"/>
    <w:rsid w:val="008D2DBB"/>
    <w:rsid w:val="008D2FDC"/>
    <w:rsid w:val="008D3951"/>
    <w:rsid w:val="008D4906"/>
    <w:rsid w:val="008D54A8"/>
    <w:rsid w:val="008D5D6C"/>
    <w:rsid w:val="008D6483"/>
    <w:rsid w:val="008D6D08"/>
    <w:rsid w:val="008D7C67"/>
    <w:rsid w:val="008D7D9F"/>
    <w:rsid w:val="008E077D"/>
    <w:rsid w:val="008E1065"/>
    <w:rsid w:val="008E16A0"/>
    <w:rsid w:val="008E3117"/>
    <w:rsid w:val="008E3AAC"/>
    <w:rsid w:val="008E3BFF"/>
    <w:rsid w:val="008E3D32"/>
    <w:rsid w:val="008E4C68"/>
    <w:rsid w:val="008E6B7A"/>
    <w:rsid w:val="008E6CF1"/>
    <w:rsid w:val="008F1540"/>
    <w:rsid w:val="008F2536"/>
    <w:rsid w:val="008F49FF"/>
    <w:rsid w:val="008F4C02"/>
    <w:rsid w:val="008F4DDF"/>
    <w:rsid w:val="008F6A5C"/>
    <w:rsid w:val="008F6B67"/>
    <w:rsid w:val="008F7294"/>
    <w:rsid w:val="008F7932"/>
    <w:rsid w:val="00900B22"/>
    <w:rsid w:val="00901EBF"/>
    <w:rsid w:val="00902587"/>
    <w:rsid w:val="00902644"/>
    <w:rsid w:val="00904045"/>
    <w:rsid w:val="00906168"/>
    <w:rsid w:val="00907013"/>
    <w:rsid w:val="0090707A"/>
    <w:rsid w:val="0090727C"/>
    <w:rsid w:val="00907FF7"/>
    <w:rsid w:val="009110B1"/>
    <w:rsid w:val="009115FB"/>
    <w:rsid w:val="009123F0"/>
    <w:rsid w:val="00912BF5"/>
    <w:rsid w:val="00914D2A"/>
    <w:rsid w:val="00920570"/>
    <w:rsid w:val="00920EDA"/>
    <w:rsid w:val="009212E5"/>
    <w:rsid w:val="009218B0"/>
    <w:rsid w:val="0092291D"/>
    <w:rsid w:val="00924120"/>
    <w:rsid w:val="00924295"/>
    <w:rsid w:val="009246EB"/>
    <w:rsid w:val="0092659C"/>
    <w:rsid w:val="009320B0"/>
    <w:rsid w:val="00932B43"/>
    <w:rsid w:val="00933F85"/>
    <w:rsid w:val="00934C92"/>
    <w:rsid w:val="00934F42"/>
    <w:rsid w:val="0093579F"/>
    <w:rsid w:val="009365EB"/>
    <w:rsid w:val="00936EBB"/>
    <w:rsid w:val="00937683"/>
    <w:rsid w:val="009376E3"/>
    <w:rsid w:val="00937CA5"/>
    <w:rsid w:val="009402A5"/>
    <w:rsid w:val="00941230"/>
    <w:rsid w:val="00941D05"/>
    <w:rsid w:val="00941EFE"/>
    <w:rsid w:val="009421C6"/>
    <w:rsid w:val="009430E5"/>
    <w:rsid w:val="00943C8D"/>
    <w:rsid w:val="0094417B"/>
    <w:rsid w:val="009466CA"/>
    <w:rsid w:val="009517CB"/>
    <w:rsid w:val="00951884"/>
    <w:rsid w:val="00951A85"/>
    <w:rsid w:val="00952243"/>
    <w:rsid w:val="009528B9"/>
    <w:rsid w:val="009535D5"/>
    <w:rsid w:val="00953F70"/>
    <w:rsid w:val="00954320"/>
    <w:rsid w:val="00955514"/>
    <w:rsid w:val="00955C40"/>
    <w:rsid w:val="009576D0"/>
    <w:rsid w:val="009601E6"/>
    <w:rsid w:val="00960306"/>
    <w:rsid w:val="00962021"/>
    <w:rsid w:val="00962353"/>
    <w:rsid w:val="00962BAB"/>
    <w:rsid w:val="00962D77"/>
    <w:rsid w:val="00964826"/>
    <w:rsid w:val="0096490A"/>
    <w:rsid w:val="00964AC9"/>
    <w:rsid w:val="00964C39"/>
    <w:rsid w:val="00965207"/>
    <w:rsid w:val="009662FE"/>
    <w:rsid w:val="0096745E"/>
    <w:rsid w:val="00970894"/>
    <w:rsid w:val="00971744"/>
    <w:rsid w:val="0097228F"/>
    <w:rsid w:val="009728A5"/>
    <w:rsid w:val="009733E0"/>
    <w:rsid w:val="00973E53"/>
    <w:rsid w:val="00974474"/>
    <w:rsid w:val="009758D7"/>
    <w:rsid w:val="00975EBF"/>
    <w:rsid w:val="00975FAA"/>
    <w:rsid w:val="0097681F"/>
    <w:rsid w:val="00977FE2"/>
    <w:rsid w:val="0098050E"/>
    <w:rsid w:val="009809BA"/>
    <w:rsid w:val="00981A7C"/>
    <w:rsid w:val="00981F5B"/>
    <w:rsid w:val="00982856"/>
    <w:rsid w:val="009837EB"/>
    <w:rsid w:val="00983AC8"/>
    <w:rsid w:val="009846B2"/>
    <w:rsid w:val="009854B7"/>
    <w:rsid w:val="00985857"/>
    <w:rsid w:val="0098611E"/>
    <w:rsid w:val="00987333"/>
    <w:rsid w:val="009873B9"/>
    <w:rsid w:val="00987530"/>
    <w:rsid w:val="009907E2"/>
    <w:rsid w:val="00991941"/>
    <w:rsid w:val="00992E06"/>
    <w:rsid w:val="009935B4"/>
    <w:rsid w:val="00993A1B"/>
    <w:rsid w:val="00993D2C"/>
    <w:rsid w:val="00993FB1"/>
    <w:rsid w:val="0099418A"/>
    <w:rsid w:val="009945B4"/>
    <w:rsid w:val="00995876"/>
    <w:rsid w:val="009959D0"/>
    <w:rsid w:val="0099701B"/>
    <w:rsid w:val="009A0152"/>
    <w:rsid w:val="009A3566"/>
    <w:rsid w:val="009A3AF0"/>
    <w:rsid w:val="009A3CDF"/>
    <w:rsid w:val="009A4AB7"/>
    <w:rsid w:val="009A7469"/>
    <w:rsid w:val="009A7801"/>
    <w:rsid w:val="009B0207"/>
    <w:rsid w:val="009B0F18"/>
    <w:rsid w:val="009B15BC"/>
    <w:rsid w:val="009B15D5"/>
    <w:rsid w:val="009B2C10"/>
    <w:rsid w:val="009B3608"/>
    <w:rsid w:val="009B41BC"/>
    <w:rsid w:val="009B43CA"/>
    <w:rsid w:val="009B4EDB"/>
    <w:rsid w:val="009B5600"/>
    <w:rsid w:val="009B59C4"/>
    <w:rsid w:val="009B5EFC"/>
    <w:rsid w:val="009B7B73"/>
    <w:rsid w:val="009C0A73"/>
    <w:rsid w:val="009C0D9A"/>
    <w:rsid w:val="009C22C7"/>
    <w:rsid w:val="009C41F1"/>
    <w:rsid w:val="009C42A2"/>
    <w:rsid w:val="009C46D9"/>
    <w:rsid w:val="009C4A4C"/>
    <w:rsid w:val="009C4C49"/>
    <w:rsid w:val="009C5EB3"/>
    <w:rsid w:val="009C7B53"/>
    <w:rsid w:val="009D074A"/>
    <w:rsid w:val="009D181B"/>
    <w:rsid w:val="009D2168"/>
    <w:rsid w:val="009D54AB"/>
    <w:rsid w:val="009D7087"/>
    <w:rsid w:val="009D7268"/>
    <w:rsid w:val="009D755E"/>
    <w:rsid w:val="009E0BA7"/>
    <w:rsid w:val="009E164D"/>
    <w:rsid w:val="009E2465"/>
    <w:rsid w:val="009E2745"/>
    <w:rsid w:val="009E420F"/>
    <w:rsid w:val="009E54BD"/>
    <w:rsid w:val="009E5C20"/>
    <w:rsid w:val="009E5F5C"/>
    <w:rsid w:val="009E7F6B"/>
    <w:rsid w:val="009F0493"/>
    <w:rsid w:val="009F43C5"/>
    <w:rsid w:val="009F4929"/>
    <w:rsid w:val="009F5664"/>
    <w:rsid w:val="009F5E8D"/>
    <w:rsid w:val="009F5FE9"/>
    <w:rsid w:val="009F7E49"/>
    <w:rsid w:val="00A01732"/>
    <w:rsid w:val="00A019D1"/>
    <w:rsid w:val="00A01FE2"/>
    <w:rsid w:val="00A02A72"/>
    <w:rsid w:val="00A03571"/>
    <w:rsid w:val="00A059F8"/>
    <w:rsid w:val="00A071F1"/>
    <w:rsid w:val="00A07374"/>
    <w:rsid w:val="00A107C6"/>
    <w:rsid w:val="00A10B66"/>
    <w:rsid w:val="00A10DCC"/>
    <w:rsid w:val="00A11B25"/>
    <w:rsid w:val="00A124A4"/>
    <w:rsid w:val="00A127E5"/>
    <w:rsid w:val="00A1309D"/>
    <w:rsid w:val="00A152C2"/>
    <w:rsid w:val="00A1556F"/>
    <w:rsid w:val="00A20409"/>
    <w:rsid w:val="00A20E34"/>
    <w:rsid w:val="00A2252F"/>
    <w:rsid w:val="00A2276F"/>
    <w:rsid w:val="00A22B31"/>
    <w:rsid w:val="00A23254"/>
    <w:rsid w:val="00A2361E"/>
    <w:rsid w:val="00A238AD"/>
    <w:rsid w:val="00A24046"/>
    <w:rsid w:val="00A25A53"/>
    <w:rsid w:val="00A25B55"/>
    <w:rsid w:val="00A27248"/>
    <w:rsid w:val="00A30155"/>
    <w:rsid w:val="00A30888"/>
    <w:rsid w:val="00A31594"/>
    <w:rsid w:val="00A315DD"/>
    <w:rsid w:val="00A317DD"/>
    <w:rsid w:val="00A32753"/>
    <w:rsid w:val="00A3312F"/>
    <w:rsid w:val="00A3402D"/>
    <w:rsid w:val="00A340D2"/>
    <w:rsid w:val="00A34869"/>
    <w:rsid w:val="00A35C55"/>
    <w:rsid w:val="00A36870"/>
    <w:rsid w:val="00A36B40"/>
    <w:rsid w:val="00A3756E"/>
    <w:rsid w:val="00A3771E"/>
    <w:rsid w:val="00A42B2F"/>
    <w:rsid w:val="00A433AF"/>
    <w:rsid w:val="00A43B11"/>
    <w:rsid w:val="00A44B91"/>
    <w:rsid w:val="00A451E9"/>
    <w:rsid w:val="00A4538F"/>
    <w:rsid w:val="00A45C9C"/>
    <w:rsid w:val="00A4749E"/>
    <w:rsid w:val="00A47760"/>
    <w:rsid w:val="00A47A56"/>
    <w:rsid w:val="00A47F40"/>
    <w:rsid w:val="00A52048"/>
    <w:rsid w:val="00A53FD4"/>
    <w:rsid w:val="00A5546E"/>
    <w:rsid w:val="00A55EAD"/>
    <w:rsid w:val="00A56426"/>
    <w:rsid w:val="00A571E3"/>
    <w:rsid w:val="00A61A7D"/>
    <w:rsid w:val="00A62597"/>
    <w:rsid w:val="00A62A35"/>
    <w:rsid w:val="00A6413E"/>
    <w:rsid w:val="00A6497A"/>
    <w:rsid w:val="00A64BCF"/>
    <w:rsid w:val="00A6559D"/>
    <w:rsid w:val="00A65B4C"/>
    <w:rsid w:val="00A70325"/>
    <w:rsid w:val="00A70527"/>
    <w:rsid w:val="00A70D85"/>
    <w:rsid w:val="00A71C21"/>
    <w:rsid w:val="00A72CC7"/>
    <w:rsid w:val="00A72E35"/>
    <w:rsid w:val="00A739B8"/>
    <w:rsid w:val="00A73A48"/>
    <w:rsid w:val="00A73DDA"/>
    <w:rsid w:val="00A7457E"/>
    <w:rsid w:val="00A75728"/>
    <w:rsid w:val="00A77491"/>
    <w:rsid w:val="00A77EC4"/>
    <w:rsid w:val="00A77FBB"/>
    <w:rsid w:val="00A809AC"/>
    <w:rsid w:val="00A83079"/>
    <w:rsid w:val="00A833A8"/>
    <w:rsid w:val="00A833A9"/>
    <w:rsid w:val="00A87080"/>
    <w:rsid w:val="00A875E0"/>
    <w:rsid w:val="00A901DC"/>
    <w:rsid w:val="00A90622"/>
    <w:rsid w:val="00A90DD8"/>
    <w:rsid w:val="00A91081"/>
    <w:rsid w:val="00A91B3E"/>
    <w:rsid w:val="00A92F3D"/>
    <w:rsid w:val="00A93432"/>
    <w:rsid w:val="00A94E37"/>
    <w:rsid w:val="00AA3480"/>
    <w:rsid w:val="00AA4C5F"/>
    <w:rsid w:val="00AA6519"/>
    <w:rsid w:val="00AA72E8"/>
    <w:rsid w:val="00AA730D"/>
    <w:rsid w:val="00AB1D2D"/>
    <w:rsid w:val="00AB22E4"/>
    <w:rsid w:val="00AB2CCF"/>
    <w:rsid w:val="00AB57BD"/>
    <w:rsid w:val="00AB5BF7"/>
    <w:rsid w:val="00AB6BE5"/>
    <w:rsid w:val="00AC0844"/>
    <w:rsid w:val="00AC0DCB"/>
    <w:rsid w:val="00AC0E0A"/>
    <w:rsid w:val="00AC11C2"/>
    <w:rsid w:val="00AC1340"/>
    <w:rsid w:val="00AC17FB"/>
    <w:rsid w:val="00AC2601"/>
    <w:rsid w:val="00AC282E"/>
    <w:rsid w:val="00AC5142"/>
    <w:rsid w:val="00AC54BA"/>
    <w:rsid w:val="00AC6178"/>
    <w:rsid w:val="00AC7643"/>
    <w:rsid w:val="00AC76C6"/>
    <w:rsid w:val="00AC7E71"/>
    <w:rsid w:val="00AD1933"/>
    <w:rsid w:val="00AD1FC8"/>
    <w:rsid w:val="00AD3187"/>
    <w:rsid w:val="00AD376C"/>
    <w:rsid w:val="00AD4F80"/>
    <w:rsid w:val="00AD54E3"/>
    <w:rsid w:val="00AD620E"/>
    <w:rsid w:val="00AD6C33"/>
    <w:rsid w:val="00AE01E5"/>
    <w:rsid w:val="00AE0A36"/>
    <w:rsid w:val="00AE1281"/>
    <w:rsid w:val="00AE1843"/>
    <w:rsid w:val="00AE2333"/>
    <w:rsid w:val="00AE29A8"/>
    <w:rsid w:val="00AE29ED"/>
    <w:rsid w:val="00AE5ADC"/>
    <w:rsid w:val="00AE61C8"/>
    <w:rsid w:val="00AE7655"/>
    <w:rsid w:val="00AE77EA"/>
    <w:rsid w:val="00AE79C8"/>
    <w:rsid w:val="00AF03A6"/>
    <w:rsid w:val="00AF0D0F"/>
    <w:rsid w:val="00AF1681"/>
    <w:rsid w:val="00AF17E5"/>
    <w:rsid w:val="00AF2ECD"/>
    <w:rsid w:val="00AF4EF6"/>
    <w:rsid w:val="00AF7AD6"/>
    <w:rsid w:val="00B00E27"/>
    <w:rsid w:val="00B04523"/>
    <w:rsid w:val="00B04640"/>
    <w:rsid w:val="00B04FBD"/>
    <w:rsid w:val="00B0583B"/>
    <w:rsid w:val="00B0600C"/>
    <w:rsid w:val="00B06A92"/>
    <w:rsid w:val="00B06F04"/>
    <w:rsid w:val="00B0700C"/>
    <w:rsid w:val="00B07557"/>
    <w:rsid w:val="00B07C50"/>
    <w:rsid w:val="00B10585"/>
    <w:rsid w:val="00B1247D"/>
    <w:rsid w:val="00B12FB9"/>
    <w:rsid w:val="00B140AA"/>
    <w:rsid w:val="00B142A1"/>
    <w:rsid w:val="00B14AFD"/>
    <w:rsid w:val="00B14CD3"/>
    <w:rsid w:val="00B16C5A"/>
    <w:rsid w:val="00B173FF"/>
    <w:rsid w:val="00B17670"/>
    <w:rsid w:val="00B176B9"/>
    <w:rsid w:val="00B20F1E"/>
    <w:rsid w:val="00B22837"/>
    <w:rsid w:val="00B22D9A"/>
    <w:rsid w:val="00B235B7"/>
    <w:rsid w:val="00B24F18"/>
    <w:rsid w:val="00B274CB"/>
    <w:rsid w:val="00B27A2D"/>
    <w:rsid w:val="00B3226B"/>
    <w:rsid w:val="00B327DD"/>
    <w:rsid w:val="00B346FB"/>
    <w:rsid w:val="00B357FF"/>
    <w:rsid w:val="00B35ADC"/>
    <w:rsid w:val="00B37C04"/>
    <w:rsid w:val="00B37F43"/>
    <w:rsid w:val="00B40487"/>
    <w:rsid w:val="00B462F3"/>
    <w:rsid w:val="00B4715A"/>
    <w:rsid w:val="00B47B60"/>
    <w:rsid w:val="00B508CD"/>
    <w:rsid w:val="00B5221B"/>
    <w:rsid w:val="00B52D8F"/>
    <w:rsid w:val="00B53943"/>
    <w:rsid w:val="00B53AE0"/>
    <w:rsid w:val="00B53FC2"/>
    <w:rsid w:val="00B541C8"/>
    <w:rsid w:val="00B54A12"/>
    <w:rsid w:val="00B55034"/>
    <w:rsid w:val="00B552DA"/>
    <w:rsid w:val="00B55613"/>
    <w:rsid w:val="00B55E61"/>
    <w:rsid w:val="00B55F48"/>
    <w:rsid w:val="00B56210"/>
    <w:rsid w:val="00B6009E"/>
    <w:rsid w:val="00B604AB"/>
    <w:rsid w:val="00B60B38"/>
    <w:rsid w:val="00B61B58"/>
    <w:rsid w:val="00B61F70"/>
    <w:rsid w:val="00B62ACB"/>
    <w:rsid w:val="00B63FA6"/>
    <w:rsid w:val="00B64755"/>
    <w:rsid w:val="00B662CB"/>
    <w:rsid w:val="00B6694D"/>
    <w:rsid w:val="00B67B1A"/>
    <w:rsid w:val="00B70DEB"/>
    <w:rsid w:val="00B715CA"/>
    <w:rsid w:val="00B723E6"/>
    <w:rsid w:val="00B72A6D"/>
    <w:rsid w:val="00B72CC5"/>
    <w:rsid w:val="00B73103"/>
    <w:rsid w:val="00B733D1"/>
    <w:rsid w:val="00B743B3"/>
    <w:rsid w:val="00B74837"/>
    <w:rsid w:val="00B74D3D"/>
    <w:rsid w:val="00B76D9C"/>
    <w:rsid w:val="00B8073E"/>
    <w:rsid w:val="00B80B77"/>
    <w:rsid w:val="00B81917"/>
    <w:rsid w:val="00B82221"/>
    <w:rsid w:val="00B823B4"/>
    <w:rsid w:val="00B8623E"/>
    <w:rsid w:val="00B879B5"/>
    <w:rsid w:val="00B87BEF"/>
    <w:rsid w:val="00B907CA"/>
    <w:rsid w:val="00B910EC"/>
    <w:rsid w:val="00B912EC"/>
    <w:rsid w:val="00B918E9"/>
    <w:rsid w:val="00B921A2"/>
    <w:rsid w:val="00B94274"/>
    <w:rsid w:val="00B9430F"/>
    <w:rsid w:val="00B94C9B"/>
    <w:rsid w:val="00B97191"/>
    <w:rsid w:val="00B971B3"/>
    <w:rsid w:val="00B9728D"/>
    <w:rsid w:val="00BA03EB"/>
    <w:rsid w:val="00BA17F3"/>
    <w:rsid w:val="00BA2673"/>
    <w:rsid w:val="00BA6B4A"/>
    <w:rsid w:val="00BB040E"/>
    <w:rsid w:val="00BB0604"/>
    <w:rsid w:val="00BB087D"/>
    <w:rsid w:val="00BB0AF0"/>
    <w:rsid w:val="00BB2B6D"/>
    <w:rsid w:val="00BB2CDF"/>
    <w:rsid w:val="00BB2D5B"/>
    <w:rsid w:val="00BB30D7"/>
    <w:rsid w:val="00BB630A"/>
    <w:rsid w:val="00BB73BC"/>
    <w:rsid w:val="00BB78E3"/>
    <w:rsid w:val="00BB79DF"/>
    <w:rsid w:val="00BB7A06"/>
    <w:rsid w:val="00BC0D1A"/>
    <w:rsid w:val="00BC1C35"/>
    <w:rsid w:val="00BC22F1"/>
    <w:rsid w:val="00BC2867"/>
    <w:rsid w:val="00BC3B9F"/>
    <w:rsid w:val="00BC3F87"/>
    <w:rsid w:val="00BC40ED"/>
    <w:rsid w:val="00BC43BD"/>
    <w:rsid w:val="00BC46FC"/>
    <w:rsid w:val="00BC4779"/>
    <w:rsid w:val="00BC55F8"/>
    <w:rsid w:val="00BC6186"/>
    <w:rsid w:val="00BD0065"/>
    <w:rsid w:val="00BD0138"/>
    <w:rsid w:val="00BD113E"/>
    <w:rsid w:val="00BD1C46"/>
    <w:rsid w:val="00BD23A9"/>
    <w:rsid w:val="00BD3863"/>
    <w:rsid w:val="00BD470C"/>
    <w:rsid w:val="00BD5A03"/>
    <w:rsid w:val="00BD665D"/>
    <w:rsid w:val="00BD67B3"/>
    <w:rsid w:val="00BD6D30"/>
    <w:rsid w:val="00BD728C"/>
    <w:rsid w:val="00BE07AF"/>
    <w:rsid w:val="00BE0EAB"/>
    <w:rsid w:val="00BE0F86"/>
    <w:rsid w:val="00BE1128"/>
    <w:rsid w:val="00BE1A4E"/>
    <w:rsid w:val="00BE3FF0"/>
    <w:rsid w:val="00BE6065"/>
    <w:rsid w:val="00BE7433"/>
    <w:rsid w:val="00BF0416"/>
    <w:rsid w:val="00BF077C"/>
    <w:rsid w:val="00BF1C31"/>
    <w:rsid w:val="00BF3120"/>
    <w:rsid w:val="00BF6B7A"/>
    <w:rsid w:val="00BF7931"/>
    <w:rsid w:val="00BF7C43"/>
    <w:rsid w:val="00C00CED"/>
    <w:rsid w:val="00C00EB9"/>
    <w:rsid w:val="00C00F0F"/>
    <w:rsid w:val="00C00F7D"/>
    <w:rsid w:val="00C0124C"/>
    <w:rsid w:val="00C0146E"/>
    <w:rsid w:val="00C020D6"/>
    <w:rsid w:val="00C02F04"/>
    <w:rsid w:val="00C030B6"/>
    <w:rsid w:val="00C037C8"/>
    <w:rsid w:val="00C0509B"/>
    <w:rsid w:val="00C07C73"/>
    <w:rsid w:val="00C07C99"/>
    <w:rsid w:val="00C106A1"/>
    <w:rsid w:val="00C10813"/>
    <w:rsid w:val="00C12947"/>
    <w:rsid w:val="00C137AC"/>
    <w:rsid w:val="00C13EE1"/>
    <w:rsid w:val="00C150CB"/>
    <w:rsid w:val="00C15D71"/>
    <w:rsid w:val="00C166EE"/>
    <w:rsid w:val="00C16E7B"/>
    <w:rsid w:val="00C208CA"/>
    <w:rsid w:val="00C208FB"/>
    <w:rsid w:val="00C20C05"/>
    <w:rsid w:val="00C2251D"/>
    <w:rsid w:val="00C22D11"/>
    <w:rsid w:val="00C22ECF"/>
    <w:rsid w:val="00C239B8"/>
    <w:rsid w:val="00C23DD2"/>
    <w:rsid w:val="00C24175"/>
    <w:rsid w:val="00C24215"/>
    <w:rsid w:val="00C24E49"/>
    <w:rsid w:val="00C2542E"/>
    <w:rsid w:val="00C25464"/>
    <w:rsid w:val="00C25503"/>
    <w:rsid w:val="00C257FD"/>
    <w:rsid w:val="00C26364"/>
    <w:rsid w:val="00C263D8"/>
    <w:rsid w:val="00C27CC3"/>
    <w:rsid w:val="00C3219F"/>
    <w:rsid w:val="00C3286B"/>
    <w:rsid w:val="00C32E61"/>
    <w:rsid w:val="00C340D7"/>
    <w:rsid w:val="00C34D81"/>
    <w:rsid w:val="00C34F5A"/>
    <w:rsid w:val="00C3758D"/>
    <w:rsid w:val="00C37FEE"/>
    <w:rsid w:val="00C40404"/>
    <w:rsid w:val="00C40728"/>
    <w:rsid w:val="00C412EB"/>
    <w:rsid w:val="00C41A16"/>
    <w:rsid w:val="00C41EC4"/>
    <w:rsid w:val="00C42CC5"/>
    <w:rsid w:val="00C443D3"/>
    <w:rsid w:val="00C445FA"/>
    <w:rsid w:val="00C44F29"/>
    <w:rsid w:val="00C46FD1"/>
    <w:rsid w:val="00C5284F"/>
    <w:rsid w:val="00C546DB"/>
    <w:rsid w:val="00C60BBB"/>
    <w:rsid w:val="00C60F8E"/>
    <w:rsid w:val="00C61330"/>
    <w:rsid w:val="00C621F2"/>
    <w:rsid w:val="00C62FA3"/>
    <w:rsid w:val="00C630CE"/>
    <w:rsid w:val="00C63517"/>
    <w:rsid w:val="00C636F7"/>
    <w:rsid w:val="00C63B8E"/>
    <w:rsid w:val="00C641A4"/>
    <w:rsid w:val="00C65B3F"/>
    <w:rsid w:val="00C66BB8"/>
    <w:rsid w:val="00C66E85"/>
    <w:rsid w:val="00C67B8F"/>
    <w:rsid w:val="00C702B9"/>
    <w:rsid w:val="00C7115D"/>
    <w:rsid w:val="00C72996"/>
    <w:rsid w:val="00C75094"/>
    <w:rsid w:val="00C7668B"/>
    <w:rsid w:val="00C76704"/>
    <w:rsid w:val="00C77345"/>
    <w:rsid w:val="00C77CB7"/>
    <w:rsid w:val="00C806C3"/>
    <w:rsid w:val="00C81DB7"/>
    <w:rsid w:val="00C821EE"/>
    <w:rsid w:val="00C82260"/>
    <w:rsid w:val="00C82D30"/>
    <w:rsid w:val="00C85BDE"/>
    <w:rsid w:val="00C860D6"/>
    <w:rsid w:val="00C86325"/>
    <w:rsid w:val="00C8651D"/>
    <w:rsid w:val="00C86917"/>
    <w:rsid w:val="00C87D5D"/>
    <w:rsid w:val="00C87EDD"/>
    <w:rsid w:val="00C9339A"/>
    <w:rsid w:val="00C94142"/>
    <w:rsid w:val="00C94EE1"/>
    <w:rsid w:val="00C96242"/>
    <w:rsid w:val="00CA064D"/>
    <w:rsid w:val="00CA09CD"/>
    <w:rsid w:val="00CA182D"/>
    <w:rsid w:val="00CA20BF"/>
    <w:rsid w:val="00CA34CF"/>
    <w:rsid w:val="00CA5EA9"/>
    <w:rsid w:val="00CA61D2"/>
    <w:rsid w:val="00CA6621"/>
    <w:rsid w:val="00CA685B"/>
    <w:rsid w:val="00CB06FE"/>
    <w:rsid w:val="00CB0AE6"/>
    <w:rsid w:val="00CB0B48"/>
    <w:rsid w:val="00CB3866"/>
    <w:rsid w:val="00CB39A1"/>
    <w:rsid w:val="00CB5763"/>
    <w:rsid w:val="00CB65DE"/>
    <w:rsid w:val="00CB6C5C"/>
    <w:rsid w:val="00CB73BA"/>
    <w:rsid w:val="00CC06DB"/>
    <w:rsid w:val="00CC1BE8"/>
    <w:rsid w:val="00CC28FF"/>
    <w:rsid w:val="00CC47F1"/>
    <w:rsid w:val="00CC4EA6"/>
    <w:rsid w:val="00CC504A"/>
    <w:rsid w:val="00CC6EA6"/>
    <w:rsid w:val="00CD12C6"/>
    <w:rsid w:val="00CD13D6"/>
    <w:rsid w:val="00CD3340"/>
    <w:rsid w:val="00CD417C"/>
    <w:rsid w:val="00CD5229"/>
    <w:rsid w:val="00CD5962"/>
    <w:rsid w:val="00CD702A"/>
    <w:rsid w:val="00CE1057"/>
    <w:rsid w:val="00CE1113"/>
    <w:rsid w:val="00CE1539"/>
    <w:rsid w:val="00CE19EB"/>
    <w:rsid w:val="00CE460E"/>
    <w:rsid w:val="00CE5A4C"/>
    <w:rsid w:val="00CE5CF8"/>
    <w:rsid w:val="00CE70D3"/>
    <w:rsid w:val="00CE7539"/>
    <w:rsid w:val="00CF0088"/>
    <w:rsid w:val="00CF070C"/>
    <w:rsid w:val="00CF2D5F"/>
    <w:rsid w:val="00CF3385"/>
    <w:rsid w:val="00CF458D"/>
    <w:rsid w:val="00CF65FD"/>
    <w:rsid w:val="00CF66BA"/>
    <w:rsid w:val="00CF7CB4"/>
    <w:rsid w:val="00D00FFE"/>
    <w:rsid w:val="00D015BE"/>
    <w:rsid w:val="00D055F7"/>
    <w:rsid w:val="00D05B51"/>
    <w:rsid w:val="00D06078"/>
    <w:rsid w:val="00D0609B"/>
    <w:rsid w:val="00D06193"/>
    <w:rsid w:val="00D06540"/>
    <w:rsid w:val="00D07284"/>
    <w:rsid w:val="00D10341"/>
    <w:rsid w:val="00D10501"/>
    <w:rsid w:val="00D11208"/>
    <w:rsid w:val="00D114C8"/>
    <w:rsid w:val="00D12021"/>
    <w:rsid w:val="00D1208D"/>
    <w:rsid w:val="00D14F6D"/>
    <w:rsid w:val="00D15107"/>
    <w:rsid w:val="00D16AD0"/>
    <w:rsid w:val="00D215A0"/>
    <w:rsid w:val="00D21E59"/>
    <w:rsid w:val="00D22060"/>
    <w:rsid w:val="00D23554"/>
    <w:rsid w:val="00D2386E"/>
    <w:rsid w:val="00D26B93"/>
    <w:rsid w:val="00D26DC3"/>
    <w:rsid w:val="00D26EC6"/>
    <w:rsid w:val="00D2735E"/>
    <w:rsid w:val="00D27415"/>
    <w:rsid w:val="00D274EE"/>
    <w:rsid w:val="00D27D7D"/>
    <w:rsid w:val="00D309BC"/>
    <w:rsid w:val="00D40246"/>
    <w:rsid w:val="00D411F7"/>
    <w:rsid w:val="00D41DC9"/>
    <w:rsid w:val="00D41E7F"/>
    <w:rsid w:val="00D41EA4"/>
    <w:rsid w:val="00D42038"/>
    <w:rsid w:val="00D4260A"/>
    <w:rsid w:val="00D42EFD"/>
    <w:rsid w:val="00D432F0"/>
    <w:rsid w:val="00D44610"/>
    <w:rsid w:val="00D459B1"/>
    <w:rsid w:val="00D45EAD"/>
    <w:rsid w:val="00D51DD8"/>
    <w:rsid w:val="00D520B3"/>
    <w:rsid w:val="00D53CC3"/>
    <w:rsid w:val="00D5434B"/>
    <w:rsid w:val="00D54E46"/>
    <w:rsid w:val="00D55096"/>
    <w:rsid w:val="00D5536D"/>
    <w:rsid w:val="00D5621E"/>
    <w:rsid w:val="00D56335"/>
    <w:rsid w:val="00D564EF"/>
    <w:rsid w:val="00D57221"/>
    <w:rsid w:val="00D60103"/>
    <w:rsid w:val="00D6072E"/>
    <w:rsid w:val="00D607F6"/>
    <w:rsid w:val="00D60D5C"/>
    <w:rsid w:val="00D61486"/>
    <w:rsid w:val="00D61933"/>
    <w:rsid w:val="00D61C4B"/>
    <w:rsid w:val="00D637AE"/>
    <w:rsid w:val="00D65E16"/>
    <w:rsid w:val="00D663C9"/>
    <w:rsid w:val="00D66DE0"/>
    <w:rsid w:val="00D67EEE"/>
    <w:rsid w:val="00D700F3"/>
    <w:rsid w:val="00D71DDD"/>
    <w:rsid w:val="00D72F4A"/>
    <w:rsid w:val="00D72FBD"/>
    <w:rsid w:val="00D73F50"/>
    <w:rsid w:val="00D75DB8"/>
    <w:rsid w:val="00D75E1A"/>
    <w:rsid w:val="00D77088"/>
    <w:rsid w:val="00D77140"/>
    <w:rsid w:val="00D802CA"/>
    <w:rsid w:val="00D8070A"/>
    <w:rsid w:val="00D80B6F"/>
    <w:rsid w:val="00D80E48"/>
    <w:rsid w:val="00D81D7B"/>
    <w:rsid w:val="00D82A6B"/>
    <w:rsid w:val="00D82D93"/>
    <w:rsid w:val="00D82DA3"/>
    <w:rsid w:val="00D83D7E"/>
    <w:rsid w:val="00D84365"/>
    <w:rsid w:val="00D84C33"/>
    <w:rsid w:val="00D8666E"/>
    <w:rsid w:val="00D8746A"/>
    <w:rsid w:val="00D91597"/>
    <w:rsid w:val="00D91749"/>
    <w:rsid w:val="00D9235C"/>
    <w:rsid w:val="00D92C24"/>
    <w:rsid w:val="00D92D4B"/>
    <w:rsid w:val="00D93960"/>
    <w:rsid w:val="00D93F65"/>
    <w:rsid w:val="00D94426"/>
    <w:rsid w:val="00D945B2"/>
    <w:rsid w:val="00D953D3"/>
    <w:rsid w:val="00D95705"/>
    <w:rsid w:val="00D97F78"/>
    <w:rsid w:val="00DA0E7B"/>
    <w:rsid w:val="00DA1860"/>
    <w:rsid w:val="00DA20BF"/>
    <w:rsid w:val="00DA4EB3"/>
    <w:rsid w:val="00DA683D"/>
    <w:rsid w:val="00DA6CF7"/>
    <w:rsid w:val="00DA7C06"/>
    <w:rsid w:val="00DB212B"/>
    <w:rsid w:val="00DB3D98"/>
    <w:rsid w:val="00DB3DB0"/>
    <w:rsid w:val="00DB3EDA"/>
    <w:rsid w:val="00DB4056"/>
    <w:rsid w:val="00DB440A"/>
    <w:rsid w:val="00DB444D"/>
    <w:rsid w:val="00DB44E1"/>
    <w:rsid w:val="00DB6A15"/>
    <w:rsid w:val="00DB72C3"/>
    <w:rsid w:val="00DC007D"/>
    <w:rsid w:val="00DC0B72"/>
    <w:rsid w:val="00DC0C33"/>
    <w:rsid w:val="00DC1480"/>
    <w:rsid w:val="00DC16E5"/>
    <w:rsid w:val="00DC2118"/>
    <w:rsid w:val="00DC2E3C"/>
    <w:rsid w:val="00DC368A"/>
    <w:rsid w:val="00DC3B16"/>
    <w:rsid w:val="00DC4849"/>
    <w:rsid w:val="00DC5794"/>
    <w:rsid w:val="00DC60AD"/>
    <w:rsid w:val="00DC625D"/>
    <w:rsid w:val="00DC72EE"/>
    <w:rsid w:val="00DC7454"/>
    <w:rsid w:val="00DC7DC7"/>
    <w:rsid w:val="00DD0095"/>
    <w:rsid w:val="00DD0252"/>
    <w:rsid w:val="00DD1A0D"/>
    <w:rsid w:val="00DD1B5C"/>
    <w:rsid w:val="00DD32A5"/>
    <w:rsid w:val="00DD44C7"/>
    <w:rsid w:val="00DD44D5"/>
    <w:rsid w:val="00DD4BD9"/>
    <w:rsid w:val="00DD4D86"/>
    <w:rsid w:val="00DD4D93"/>
    <w:rsid w:val="00DD5052"/>
    <w:rsid w:val="00DD5ECC"/>
    <w:rsid w:val="00DD7A0F"/>
    <w:rsid w:val="00DD7D8A"/>
    <w:rsid w:val="00DE15F8"/>
    <w:rsid w:val="00DE35A3"/>
    <w:rsid w:val="00DE39E2"/>
    <w:rsid w:val="00DE5C8A"/>
    <w:rsid w:val="00DE6FCB"/>
    <w:rsid w:val="00DE7ADE"/>
    <w:rsid w:val="00DF109D"/>
    <w:rsid w:val="00DF3BBC"/>
    <w:rsid w:val="00DF4737"/>
    <w:rsid w:val="00DF5D3B"/>
    <w:rsid w:val="00E003E3"/>
    <w:rsid w:val="00E00560"/>
    <w:rsid w:val="00E0175F"/>
    <w:rsid w:val="00E0262C"/>
    <w:rsid w:val="00E068DF"/>
    <w:rsid w:val="00E077AB"/>
    <w:rsid w:val="00E100E1"/>
    <w:rsid w:val="00E107DF"/>
    <w:rsid w:val="00E10A1A"/>
    <w:rsid w:val="00E10AB1"/>
    <w:rsid w:val="00E10AD8"/>
    <w:rsid w:val="00E10EC1"/>
    <w:rsid w:val="00E11770"/>
    <w:rsid w:val="00E11B95"/>
    <w:rsid w:val="00E1341F"/>
    <w:rsid w:val="00E13717"/>
    <w:rsid w:val="00E15E30"/>
    <w:rsid w:val="00E16121"/>
    <w:rsid w:val="00E1637B"/>
    <w:rsid w:val="00E165A4"/>
    <w:rsid w:val="00E17799"/>
    <w:rsid w:val="00E17B70"/>
    <w:rsid w:val="00E17C48"/>
    <w:rsid w:val="00E20148"/>
    <w:rsid w:val="00E20B30"/>
    <w:rsid w:val="00E21C3F"/>
    <w:rsid w:val="00E21CF2"/>
    <w:rsid w:val="00E2214D"/>
    <w:rsid w:val="00E245AF"/>
    <w:rsid w:val="00E25D1D"/>
    <w:rsid w:val="00E26D17"/>
    <w:rsid w:val="00E26DB6"/>
    <w:rsid w:val="00E301F9"/>
    <w:rsid w:val="00E312EA"/>
    <w:rsid w:val="00E3173C"/>
    <w:rsid w:val="00E31B57"/>
    <w:rsid w:val="00E32324"/>
    <w:rsid w:val="00E33367"/>
    <w:rsid w:val="00E34DD3"/>
    <w:rsid w:val="00E365A8"/>
    <w:rsid w:val="00E41989"/>
    <w:rsid w:val="00E4269D"/>
    <w:rsid w:val="00E450AB"/>
    <w:rsid w:val="00E457E7"/>
    <w:rsid w:val="00E45E0C"/>
    <w:rsid w:val="00E45E38"/>
    <w:rsid w:val="00E465EB"/>
    <w:rsid w:val="00E50168"/>
    <w:rsid w:val="00E51B6D"/>
    <w:rsid w:val="00E5200C"/>
    <w:rsid w:val="00E548AC"/>
    <w:rsid w:val="00E54F3C"/>
    <w:rsid w:val="00E579E5"/>
    <w:rsid w:val="00E61F3F"/>
    <w:rsid w:val="00E6244F"/>
    <w:rsid w:val="00E624B3"/>
    <w:rsid w:val="00E62B66"/>
    <w:rsid w:val="00E62D47"/>
    <w:rsid w:val="00E637EC"/>
    <w:rsid w:val="00E642C3"/>
    <w:rsid w:val="00E652C7"/>
    <w:rsid w:val="00E654D7"/>
    <w:rsid w:val="00E65A9D"/>
    <w:rsid w:val="00E67E90"/>
    <w:rsid w:val="00E700F4"/>
    <w:rsid w:val="00E71254"/>
    <w:rsid w:val="00E72547"/>
    <w:rsid w:val="00E73039"/>
    <w:rsid w:val="00E73D42"/>
    <w:rsid w:val="00E73D67"/>
    <w:rsid w:val="00E7450D"/>
    <w:rsid w:val="00E75CAA"/>
    <w:rsid w:val="00E764A1"/>
    <w:rsid w:val="00E773DB"/>
    <w:rsid w:val="00E82DB1"/>
    <w:rsid w:val="00E83816"/>
    <w:rsid w:val="00E839D5"/>
    <w:rsid w:val="00E85C02"/>
    <w:rsid w:val="00E86B9B"/>
    <w:rsid w:val="00E87048"/>
    <w:rsid w:val="00E8750B"/>
    <w:rsid w:val="00E90B6E"/>
    <w:rsid w:val="00E915DF"/>
    <w:rsid w:val="00E9236E"/>
    <w:rsid w:val="00E93688"/>
    <w:rsid w:val="00E94FF8"/>
    <w:rsid w:val="00E9539B"/>
    <w:rsid w:val="00E96A73"/>
    <w:rsid w:val="00E974F0"/>
    <w:rsid w:val="00EA020A"/>
    <w:rsid w:val="00EA0DD2"/>
    <w:rsid w:val="00EA2019"/>
    <w:rsid w:val="00EA2B42"/>
    <w:rsid w:val="00EA5121"/>
    <w:rsid w:val="00EA586F"/>
    <w:rsid w:val="00EA6C4F"/>
    <w:rsid w:val="00EA6C87"/>
    <w:rsid w:val="00EA7209"/>
    <w:rsid w:val="00EA7657"/>
    <w:rsid w:val="00EA788C"/>
    <w:rsid w:val="00EA796D"/>
    <w:rsid w:val="00EB0CDF"/>
    <w:rsid w:val="00EB2FEB"/>
    <w:rsid w:val="00EB310D"/>
    <w:rsid w:val="00EB3A14"/>
    <w:rsid w:val="00EB4CAB"/>
    <w:rsid w:val="00EB4ED6"/>
    <w:rsid w:val="00EB5442"/>
    <w:rsid w:val="00EB5502"/>
    <w:rsid w:val="00EB6166"/>
    <w:rsid w:val="00EB662C"/>
    <w:rsid w:val="00EB67F6"/>
    <w:rsid w:val="00EB7333"/>
    <w:rsid w:val="00EC06B4"/>
    <w:rsid w:val="00EC29EF"/>
    <w:rsid w:val="00EC2D25"/>
    <w:rsid w:val="00EC2EBF"/>
    <w:rsid w:val="00EC34CF"/>
    <w:rsid w:val="00EC7509"/>
    <w:rsid w:val="00ED081B"/>
    <w:rsid w:val="00ED0922"/>
    <w:rsid w:val="00ED4C3F"/>
    <w:rsid w:val="00ED77A5"/>
    <w:rsid w:val="00EE03F4"/>
    <w:rsid w:val="00EE0497"/>
    <w:rsid w:val="00EE0C3C"/>
    <w:rsid w:val="00EE1615"/>
    <w:rsid w:val="00EE25C7"/>
    <w:rsid w:val="00EE268A"/>
    <w:rsid w:val="00EE3190"/>
    <w:rsid w:val="00EE6015"/>
    <w:rsid w:val="00EE65EC"/>
    <w:rsid w:val="00EE7DE4"/>
    <w:rsid w:val="00EF076D"/>
    <w:rsid w:val="00EF19FC"/>
    <w:rsid w:val="00EF1E65"/>
    <w:rsid w:val="00EF4AEC"/>
    <w:rsid w:val="00EF4FB4"/>
    <w:rsid w:val="00EF5C3B"/>
    <w:rsid w:val="00EF658B"/>
    <w:rsid w:val="00F012AC"/>
    <w:rsid w:val="00F02FA3"/>
    <w:rsid w:val="00F03943"/>
    <w:rsid w:val="00F041D4"/>
    <w:rsid w:val="00F04C23"/>
    <w:rsid w:val="00F05079"/>
    <w:rsid w:val="00F05F39"/>
    <w:rsid w:val="00F10ABA"/>
    <w:rsid w:val="00F10F44"/>
    <w:rsid w:val="00F1106D"/>
    <w:rsid w:val="00F11BE9"/>
    <w:rsid w:val="00F1469B"/>
    <w:rsid w:val="00F15AE6"/>
    <w:rsid w:val="00F1688E"/>
    <w:rsid w:val="00F17E09"/>
    <w:rsid w:val="00F20DFF"/>
    <w:rsid w:val="00F20EA7"/>
    <w:rsid w:val="00F22777"/>
    <w:rsid w:val="00F23DB5"/>
    <w:rsid w:val="00F246B6"/>
    <w:rsid w:val="00F253F8"/>
    <w:rsid w:val="00F25605"/>
    <w:rsid w:val="00F2778C"/>
    <w:rsid w:val="00F27A77"/>
    <w:rsid w:val="00F300A8"/>
    <w:rsid w:val="00F30640"/>
    <w:rsid w:val="00F3141B"/>
    <w:rsid w:val="00F33C2D"/>
    <w:rsid w:val="00F36DA9"/>
    <w:rsid w:val="00F373FE"/>
    <w:rsid w:val="00F37DA2"/>
    <w:rsid w:val="00F413E8"/>
    <w:rsid w:val="00F4179B"/>
    <w:rsid w:val="00F41991"/>
    <w:rsid w:val="00F42184"/>
    <w:rsid w:val="00F4248F"/>
    <w:rsid w:val="00F426FC"/>
    <w:rsid w:val="00F43417"/>
    <w:rsid w:val="00F434D6"/>
    <w:rsid w:val="00F43D9B"/>
    <w:rsid w:val="00F441C3"/>
    <w:rsid w:val="00F446A3"/>
    <w:rsid w:val="00F44F66"/>
    <w:rsid w:val="00F45186"/>
    <w:rsid w:val="00F45393"/>
    <w:rsid w:val="00F45E93"/>
    <w:rsid w:val="00F46CE1"/>
    <w:rsid w:val="00F4735A"/>
    <w:rsid w:val="00F509BE"/>
    <w:rsid w:val="00F5551C"/>
    <w:rsid w:val="00F5628D"/>
    <w:rsid w:val="00F564BE"/>
    <w:rsid w:val="00F575C9"/>
    <w:rsid w:val="00F57A07"/>
    <w:rsid w:val="00F6004C"/>
    <w:rsid w:val="00F609EF"/>
    <w:rsid w:val="00F60B89"/>
    <w:rsid w:val="00F60D0B"/>
    <w:rsid w:val="00F61490"/>
    <w:rsid w:val="00F63A8D"/>
    <w:rsid w:val="00F66D37"/>
    <w:rsid w:val="00F67E41"/>
    <w:rsid w:val="00F722AB"/>
    <w:rsid w:val="00F737D3"/>
    <w:rsid w:val="00F750EB"/>
    <w:rsid w:val="00F75766"/>
    <w:rsid w:val="00F76BB2"/>
    <w:rsid w:val="00F770FD"/>
    <w:rsid w:val="00F810D5"/>
    <w:rsid w:val="00F821B0"/>
    <w:rsid w:val="00F84768"/>
    <w:rsid w:val="00F87851"/>
    <w:rsid w:val="00F91565"/>
    <w:rsid w:val="00F91F62"/>
    <w:rsid w:val="00F93C65"/>
    <w:rsid w:val="00F94962"/>
    <w:rsid w:val="00FA0363"/>
    <w:rsid w:val="00FA0566"/>
    <w:rsid w:val="00FA05BE"/>
    <w:rsid w:val="00FA0927"/>
    <w:rsid w:val="00FA0B5F"/>
    <w:rsid w:val="00FA0B7E"/>
    <w:rsid w:val="00FA100E"/>
    <w:rsid w:val="00FA1197"/>
    <w:rsid w:val="00FA260A"/>
    <w:rsid w:val="00FA3231"/>
    <w:rsid w:val="00FA366D"/>
    <w:rsid w:val="00FA67BC"/>
    <w:rsid w:val="00FB0EAE"/>
    <w:rsid w:val="00FB1C54"/>
    <w:rsid w:val="00FB249F"/>
    <w:rsid w:val="00FB2ABF"/>
    <w:rsid w:val="00FB42F9"/>
    <w:rsid w:val="00FB52BE"/>
    <w:rsid w:val="00FB70C7"/>
    <w:rsid w:val="00FB74FC"/>
    <w:rsid w:val="00FB7C58"/>
    <w:rsid w:val="00FC0D3C"/>
    <w:rsid w:val="00FC0E2D"/>
    <w:rsid w:val="00FC32B5"/>
    <w:rsid w:val="00FC334A"/>
    <w:rsid w:val="00FC3C5C"/>
    <w:rsid w:val="00FC3E3A"/>
    <w:rsid w:val="00FC607F"/>
    <w:rsid w:val="00FC6C42"/>
    <w:rsid w:val="00FC756B"/>
    <w:rsid w:val="00FC7CD0"/>
    <w:rsid w:val="00FD14FC"/>
    <w:rsid w:val="00FD174E"/>
    <w:rsid w:val="00FD2C29"/>
    <w:rsid w:val="00FD39EC"/>
    <w:rsid w:val="00FD4009"/>
    <w:rsid w:val="00FD4E54"/>
    <w:rsid w:val="00FD61C4"/>
    <w:rsid w:val="00FD6262"/>
    <w:rsid w:val="00FD652F"/>
    <w:rsid w:val="00FD66D0"/>
    <w:rsid w:val="00FD731F"/>
    <w:rsid w:val="00FE0325"/>
    <w:rsid w:val="00FE080E"/>
    <w:rsid w:val="00FE0B8D"/>
    <w:rsid w:val="00FE2A73"/>
    <w:rsid w:val="00FE2C87"/>
    <w:rsid w:val="00FE3EA4"/>
    <w:rsid w:val="00FE50EF"/>
    <w:rsid w:val="00FE5BD0"/>
    <w:rsid w:val="00FE7AB4"/>
    <w:rsid w:val="00FF05CA"/>
    <w:rsid w:val="00FF1841"/>
    <w:rsid w:val="00FF1AD4"/>
    <w:rsid w:val="00FF2113"/>
    <w:rsid w:val="00FF255E"/>
    <w:rsid w:val="00FF2F0D"/>
    <w:rsid w:val="00FF3812"/>
    <w:rsid w:val="00FF3F0F"/>
    <w:rsid w:val="00FF4824"/>
    <w:rsid w:val="00FF482E"/>
    <w:rsid w:val="00FF53F2"/>
    <w:rsid w:val="00FF5C0A"/>
    <w:rsid w:val="00FF6077"/>
    <w:rsid w:val="00FF71D0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6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3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3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753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536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536E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B5561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55613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5613"/>
    <w:pPr>
      <w:ind w:right="851"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55613"/>
    <w:pPr>
      <w:tabs>
        <w:tab w:val="left" w:pos="9072"/>
      </w:tabs>
      <w:ind w:right="43"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561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5561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55613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430E5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57A07"/>
    <w:rPr>
      <w:sz w:val="28"/>
    </w:rPr>
  </w:style>
  <w:style w:type="paragraph" w:styleId="Title">
    <w:name w:val="Title"/>
    <w:basedOn w:val="Normal"/>
    <w:link w:val="TitleChar"/>
    <w:uiPriority w:val="99"/>
    <w:qFormat/>
    <w:rsid w:val="0074596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F84768"/>
    <w:rPr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D6FF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1C0ED4"/>
    <w:pPr>
      <w:spacing w:before="100" w:beforeAutospacing="1" w:after="100" w:afterAutospacing="1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F7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12D2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25605"/>
    <w:pPr>
      <w:ind w:left="284" w:right="-1050" w:firstLine="851"/>
      <w:jc w:val="both"/>
    </w:pPr>
    <w:rPr>
      <w:sz w:val="28"/>
    </w:rPr>
  </w:style>
  <w:style w:type="character" w:customStyle="1" w:styleId="a0">
    <w:name w:val="Гипертекстовая ссылка"/>
    <w:basedOn w:val="DefaultParagraphFont"/>
    <w:uiPriority w:val="99"/>
    <w:rsid w:val="00641843"/>
    <w:rPr>
      <w:rFonts w:cs="Times New Roman"/>
      <w:color w:val="008000"/>
    </w:rPr>
  </w:style>
  <w:style w:type="paragraph" w:customStyle="1" w:styleId="1">
    <w:name w:val="Знак1"/>
    <w:basedOn w:val="Normal"/>
    <w:uiPriority w:val="99"/>
    <w:rsid w:val="00AD31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65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Название1"/>
    <w:basedOn w:val="Normal"/>
    <w:uiPriority w:val="99"/>
    <w:rsid w:val="008A0250"/>
    <w:pPr>
      <w:jc w:val="center"/>
    </w:pPr>
    <w:rPr>
      <w:sz w:val="28"/>
    </w:rPr>
  </w:style>
  <w:style w:type="paragraph" w:styleId="ListParagraph">
    <w:name w:val="List Paragraph"/>
    <w:basedOn w:val="Normal"/>
    <w:uiPriority w:val="99"/>
    <w:qFormat/>
    <w:rsid w:val="00690EC9"/>
    <w:pPr>
      <w:ind w:left="720"/>
      <w:contextualSpacing/>
    </w:pPr>
  </w:style>
  <w:style w:type="table" w:styleId="TableGrid">
    <w:name w:val="Table Grid"/>
    <w:basedOn w:val="TableNormal"/>
    <w:uiPriority w:val="99"/>
    <w:rsid w:val="008550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Normal"/>
    <w:uiPriority w:val="99"/>
    <w:rsid w:val="00012F6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740.10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4243</Words>
  <Characters>24191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по материалам представленным                              ОАО ПКФ «Астрыбтара» в составе заявление об ус</dc:title>
  <dc:subject/>
  <dc:creator>User 2</dc:creator>
  <cp:keywords/>
  <dc:description/>
  <cp:lastModifiedBy>Демонстрационная версия</cp:lastModifiedBy>
  <cp:revision>2</cp:revision>
  <cp:lastPrinted>2014-12-22T11:25:00Z</cp:lastPrinted>
  <dcterms:created xsi:type="dcterms:W3CDTF">2015-02-03T11:42:00Z</dcterms:created>
  <dcterms:modified xsi:type="dcterms:W3CDTF">2015-02-03T11:42:00Z</dcterms:modified>
</cp:coreProperties>
</file>